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10440"/>
          <w:tab w:val="right" w:pos="13323"/>
        </w:tabs>
        <w:spacing w:after="0"/>
        <w:rPr>
          <w:rFonts w:ascii="Arial" w:hAnsi="Arial" w:eastAsia="MS Mincho" w:cs="Arial"/>
          <w:b/>
          <w:sz w:val="24"/>
          <w:szCs w:val="24"/>
          <w:highlight w:val="none"/>
          <w:lang w:val="en-US" w:eastAsia="zh-CN"/>
        </w:rPr>
      </w:pPr>
      <w:bookmarkStart w:id="0" w:name="_GoBack"/>
      <w:bookmarkEnd w:id="0"/>
      <w:r>
        <w:rPr>
          <w:rFonts w:ascii="Arial" w:hAnsi="Arial" w:eastAsia="MS Mincho" w:cs="Arial"/>
          <w:b/>
          <w:sz w:val="24"/>
          <w:szCs w:val="24"/>
          <w:highlight w:val="none"/>
        </w:rPr>
        <w:t>3GPP TSG-RAN WG4 Meeting #</w:t>
      </w:r>
      <w:r>
        <w:rPr>
          <w:rFonts w:ascii="Arial" w:hAnsi="Arial" w:cs="Arial"/>
          <w:b/>
          <w:sz w:val="24"/>
          <w:szCs w:val="24"/>
          <w:highlight w:val="none"/>
          <w:lang w:eastAsia="zh-CN"/>
        </w:rPr>
        <w:t>10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4</w:t>
      </w:r>
      <w:r>
        <w:rPr>
          <w:rFonts w:ascii="Arial" w:hAnsi="Arial" w:cs="Arial"/>
          <w:b/>
          <w:sz w:val="24"/>
          <w:szCs w:val="24"/>
          <w:highlight w:val="none"/>
          <w:lang w:eastAsia="zh-CN"/>
        </w:rPr>
        <w:t>-e</w:t>
      </w:r>
      <w:r>
        <w:rPr>
          <w:rFonts w:ascii="Arial" w:hAnsi="Arial" w:eastAsia="MS Mincho" w:cs="Arial"/>
          <w:b/>
          <w:sz w:val="24"/>
          <w:szCs w:val="24"/>
          <w:highlight w:val="none"/>
        </w:rPr>
        <w:tab/>
      </w:r>
      <w:r>
        <w:rPr>
          <w:rFonts w:ascii="Arial" w:hAnsi="Arial" w:eastAsia="MS Mincho" w:cs="Arial"/>
          <w:b/>
          <w:i w:val="0"/>
          <w:caps w:val="0"/>
          <w:spacing w:val="0"/>
          <w:sz w:val="24"/>
          <w:szCs w:val="24"/>
          <w:highlight w:val="none"/>
        </w:rPr>
        <w:t>R4-2214382</w:t>
      </w:r>
    </w:p>
    <w:p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/>
          <w:b/>
          <w:sz w:val="24"/>
          <w:szCs w:val="24"/>
          <w:highlight w:val="none"/>
          <w:lang w:eastAsia="zh-CN"/>
        </w:rPr>
        <w:t xml:space="preserve">Electronic Meeting, 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15</w:t>
      </w:r>
      <w:r>
        <w:rPr>
          <w:rFonts w:ascii="Arial" w:hAnsi="Arial"/>
          <w:b/>
          <w:sz w:val="24"/>
          <w:szCs w:val="24"/>
          <w:highlight w:val="none"/>
          <w:lang w:eastAsia="zh-CN"/>
        </w:rPr>
        <w:t xml:space="preserve"> ‒ </w:t>
      </w:r>
      <w:r>
        <w:rPr>
          <w:rFonts w:hint="eastAsia" w:ascii="Arial" w:hAnsi="Arial"/>
          <w:b/>
          <w:sz w:val="24"/>
          <w:szCs w:val="24"/>
          <w:highlight w:val="none"/>
          <w:lang w:val="en-US" w:eastAsia="zh-CN"/>
        </w:rPr>
        <w:t>26 Aug</w:t>
      </w:r>
      <w:r>
        <w:rPr>
          <w:rFonts w:ascii="Arial" w:hAnsi="Arial"/>
          <w:b/>
          <w:sz w:val="24"/>
          <w:szCs w:val="24"/>
          <w:highlight w:val="none"/>
          <w:lang w:eastAsia="zh-CN"/>
        </w:rPr>
        <w:t>, 2022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 xml:space="preserve">Title: 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ascii="Arial" w:hAnsi="Arial" w:cs="Arial"/>
          <w:sz w:val="22"/>
          <w:highlight w:val="none"/>
          <w:lang w:eastAsia="zh-CN"/>
        </w:rPr>
        <w:t xml:space="preserve">WF on </w:t>
      </w:r>
      <w:r>
        <w:rPr>
          <w:rFonts w:hint="eastAsia" w:ascii="Arial" w:hAnsi="Arial" w:cs="Arial"/>
          <w:sz w:val="22"/>
          <w:highlight w:val="none"/>
          <w:lang w:val="en-US" w:eastAsia="zh-CN"/>
        </w:rPr>
        <w:t xml:space="preserve">SAN RF requirement for IoT over NTN </w:t>
      </w: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>Agenda Item: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eastAsia" w:ascii="Arial" w:hAnsi="Arial" w:cs="Arial"/>
          <w:b/>
          <w:sz w:val="22"/>
          <w:highlight w:val="none"/>
          <w:lang w:val="en-US" w:eastAsia="zh-CN"/>
        </w:rPr>
        <w:t xml:space="preserve">     </w:t>
      </w:r>
      <w:r>
        <w:rPr>
          <w:rFonts w:hint="eastAsia" w:ascii="Arial" w:hAnsi="Arial" w:cs="Arial"/>
          <w:color w:val="000000"/>
          <w:sz w:val="22"/>
          <w:highlight w:val="none"/>
          <w:lang w:val="en-US" w:eastAsia="zh-CN"/>
        </w:rPr>
        <w:t>12.5.2, 12.5.3</w:t>
      </w:r>
    </w:p>
    <w:p>
      <w:pPr>
        <w:tabs>
          <w:tab w:val="left" w:pos="1985"/>
        </w:tabs>
        <w:jc w:val="both"/>
        <w:rPr>
          <w:rFonts w:ascii="Arial" w:hAnsi="Arial" w:cs="Arial"/>
          <w:sz w:val="22"/>
          <w:highlight w:val="none"/>
          <w:lang w:val="en-US" w:eastAsia="zh-CN"/>
        </w:rPr>
      </w:pPr>
      <w:r>
        <w:rPr>
          <w:rFonts w:ascii="Arial" w:hAnsi="Arial" w:cs="Arial"/>
          <w:b/>
          <w:sz w:val="22"/>
          <w:highlight w:val="none"/>
        </w:rPr>
        <w:t xml:space="preserve">Source: 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hint="eastAsia" w:ascii="Arial" w:hAnsi="Arial" w:cs="Arial"/>
          <w:sz w:val="22"/>
          <w:highlight w:val="none"/>
          <w:lang w:val="en-US" w:eastAsia="zh-CN"/>
        </w:rPr>
        <w:t>ZTE</w:t>
      </w:r>
    </w:p>
    <w:p>
      <w:pPr>
        <w:tabs>
          <w:tab w:val="left" w:pos="1985"/>
        </w:tabs>
        <w:jc w:val="both"/>
        <w:rPr>
          <w:rFonts w:ascii="Arial" w:hAnsi="Arial" w:cs="Arial"/>
          <w:b/>
          <w:sz w:val="22"/>
          <w:highlight w:val="none"/>
          <w:lang w:eastAsia="zh-CN"/>
        </w:rPr>
      </w:pPr>
      <w:r>
        <w:rPr>
          <w:rFonts w:ascii="Arial" w:hAnsi="Arial" w:cs="Arial"/>
          <w:b/>
          <w:sz w:val="22"/>
          <w:highlight w:val="none"/>
        </w:rPr>
        <w:t>Document for:</w:t>
      </w:r>
      <w:r>
        <w:rPr>
          <w:rFonts w:ascii="Arial" w:hAnsi="Arial" w:cs="Arial"/>
          <w:b/>
          <w:sz w:val="22"/>
          <w:highlight w:val="none"/>
        </w:rPr>
        <w:tab/>
      </w:r>
      <w:r>
        <w:rPr>
          <w:rFonts w:ascii="Arial" w:hAnsi="Arial" w:cs="Arial"/>
          <w:sz w:val="22"/>
          <w:highlight w:val="none"/>
          <w:lang w:eastAsia="zh-CN"/>
        </w:rPr>
        <w:t>Approval</w:t>
      </w:r>
    </w:p>
    <w:p>
      <w:pPr>
        <w:pStyle w:val="2"/>
        <w:numPr>
          <w:ilvl w:val="0"/>
          <w:numId w:val="0"/>
        </w:numPr>
        <w:rPr>
          <w:highlight w:val="none"/>
          <w:lang w:eastAsia="zh-CN"/>
        </w:rPr>
      </w:pPr>
    </w:p>
    <w:p>
      <w:pPr>
        <w:pStyle w:val="3"/>
        <w:rPr>
          <w:sz w:val="24"/>
          <w:szCs w:val="16"/>
          <w:highlight w:val="none"/>
          <w:lang w:val="en-US" w:eastAsia="zh-TW"/>
        </w:rPr>
      </w:pPr>
      <w:r>
        <w:rPr>
          <w:sz w:val="24"/>
          <w:szCs w:val="16"/>
          <w:highlight w:val="none"/>
        </w:rPr>
        <w:t xml:space="preserve">Sub-topic </w:t>
      </w:r>
      <w:r>
        <w:rPr>
          <w:rFonts w:hint="eastAsia"/>
          <w:sz w:val="24"/>
          <w:szCs w:val="16"/>
          <w:highlight w:val="none"/>
          <w:lang w:val="en-US" w:eastAsia="zh-CN"/>
        </w:rPr>
        <w:t>3</w:t>
      </w:r>
      <w:r>
        <w:rPr>
          <w:sz w:val="24"/>
          <w:szCs w:val="16"/>
          <w:highlight w:val="none"/>
        </w:rPr>
        <w:t>-</w:t>
      </w:r>
      <w:r>
        <w:rPr>
          <w:rFonts w:hint="eastAsia"/>
          <w:sz w:val="24"/>
          <w:szCs w:val="16"/>
          <w:highlight w:val="none"/>
          <w:lang w:val="en-US"/>
        </w:rPr>
        <w:t xml:space="preserve">1 </w:t>
      </w:r>
      <w:r>
        <w:rPr>
          <w:rFonts w:hint="eastAsia"/>
          <w:sz w:val="24"/>
          <w:szCs w:val="16"/>
          <w:highlight w:val="none"/>
          <w:lang w:val="en-US" w:eastAsia="zh-CN"/>
        </w:rPr>
        <w:t>General principle for SAN RF requirement for IoT over NTN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iCs/>
          <w:highlight w:val="none"/>
          <w:lang w:eastAsia="zh-CN"/>
        </w:rPr>
      </w:pPr>
      <w:r>
        <w:rPr>
          <w:rFonts w:hint="eastAsia" w:eastAsiaTheme="minorEastAsia"/>
          <w:b/>
          <w:bCs/>
          <w:iCs/>
          <w:highlight w:val="none"/>
          <w:lang w:val="en-US" w:eastAsia="zh-CN"/>
        </w:rPr>
        <w:t xml:space="preserve"> A</w:t>
      </w:r>
      <w:r>
        <w:rPr>
          <w:rFonts w:eastAsiaTheme="minorEastAsia"/>
          <w:b/>
          <w:bCs/>
          <w:iCs/>
          <w:highlight w:val="none"/>
          <w:lang w:eastAsia="zh-CN"/>
        </w:rPr>
        <w:t>greements:</w:t>
      </w:r>
    </w:p>
    <w:p>
      <w:pPr>
        <w:pStyle w:val="89"/>
        <w:numPr>
          <w:ilvl w:val="1"/>
          <w:numId w:val="3"/>
        </w:numPr>
        <w:spacing w:after="120"/>
        <w:ind w:left="1440" w:firstLineChars="0"/>
        <w:rPr>
          <w:szCs w:val="24"/>
          <w:highlight w:val="none"/>
          <w:lang w:val="en-US" w:eastAsia="zh-CN"/>
        </w:rPr>
      </w:pPr>
      <w:r>
        <w:rPr>
          <w:rFonts w:hint="eastAsia"/>
          <w:szCs w:val="24"/>
          <w:highlight w:val="none"/>
          <w:lang w:val="en-US" w:eastAsia="zh-CN"/>
        </w:rPr>
        <w:t>Proposal 1: consider the NTN NR terminology captured in TS 38.108, as the baseline for the NTN IoT work and TS 36.108skeleton, where possible.</w:t>
      </w:r>
    </w:p>
    <w:p>
      <w:pPr>
        <w:pStyle w:val="89"/>
        <w:numPr>
          <w:ilvl w:val="1"/>
          <w:numId w:val="3"/>
        </w:numPr>
        <w:spacing w:after="120"/>
        <w:ind w:left="1440" w:firstLineChars="0"/>
        <w:rPr>
          <w:szCs w:val="24"/>
          <w:highlight w:val="none"/>
          <w:lang w:val="en-US" w:eastAsia="zh-CN"/>
        </w:rPr>
      </w:pPr>
      <w:r>
        <w:rPr>
          <w:rFonts w:hint="eastAsia"/>
          <w:szCs w:val="24"/>
          <w:highlight w:val="none"/>
          <w:lang w:val="en-US" w:eastAsia="zh-CN"/>
        </w:rPr>
        <w:t xml:space="preserve">Proposal 2: reuse the already defined set of NR NTN SAN classes (i.e. GEO, LEO600, LEO1200) for NTN IoT WI. </w:t>
      </w:r>
    </w:p>
    <w:p>
      <w:pPr>
        <w:pStyle w:val="89"/>
        <w:numPr>
          <w:ilvl w:val="1"/>
          <w:numId w:val="3"/>
        </w:numPr>
        <w:spacing w:after="120"/>
        <w:ind w:left="1440" w:firstLineChars="0"/>
        <w:rPr>
          <w:szCs w:val="24"/>
          <w:highlight w:val="none"/>
          <w:lang w:val="en-US" w:eastAsia="zh-CN"/>
        </w:rPr>
      </w:pPr>
      <w:r>
        <w:rPr>
          <w:rFonts w:hint="eastAsia"/>
          <w:szCs w:val="24"/>
          <w:highlight w:val="none"/>
          <w:lang w:val="en-US" w:eastAsia="zh-CN"/>
        </w:rPr>
        <w:t xml:space="preserve">Proposal 3: For NTN IoT, consider SAN type 1-H and SAN type 1-O as the baseline.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Yu Mincho"/>
          <w:i/>
          <w:color w:val="0070C0"/>
          <w:highlight w:val="none"/>
          <w:lang w:val="en-US" w:eastAsia="zh-CN"/>
        </w:rPr>
      </w:pPr>
    </w:p>
    <w:p>
      <w:pPr>
        <w:pStyle w:val="3"/>
        <w:rPr>
          <w:sz w:val="24"/>
          <w:szCs w:val="24"/>
          <w:highlight w:val="none"/>
          <w:lang w:val="en-US" w:eastAsia="zh-CN"/>
        </w:rPr>
      </w:pPr>
      <w:r>
        <w:rPr>
          <w:sz w:val="24"/>
          <w:szCs w:val="16"/>
          <w:highlight w:val="none"/>
        </w:rPr>
        <w:t xml:space="preserve">Sub-topic </w:t>
      </w:r>
      <w:r>
        <w:rPr>
          <w:rFonts w:hint="eastAsia"/>
          <w:sz w:val="24"/>
          <w:szCs w:val="16"/>
          <w:highlight w:val="none"/>
          <w:lang w:val="en-US" w:eastAsia="zh-CN"/>
        </w:rPr>
        <w:t>3</w:t>
      </w:r>
      <w:r>
        <w:rPr>
          <w:sz w:val="24"/>
          <w:szCs w:val="16"/>
          <w:highlight w:val="none"/>
        </w:rPr>
        <w:t>-</w:t>
      </w:r>
      <w:r>
        <w:rPr>
          <w:rFonts w:hint="eastAsia"/>
          <w:sz w:val="24"/>
          <w:szCs w:val="16"/>
          <w:highlight w:val="none"/>
          <w:lang w:val="en-US" w:eastAsia="zh-CN"/>
        </w:rPr>
        <w:t>2</w:t>
      </w:r>
      <w:r>
        <w:rPr>
          <w:rFonts w:hint="eastAsia"/>
          <w:sz w:val="24"/>
          <w:szCs w:val="16"/>
          <w:highlight w:val="none"/>
          <w:lang w:val="en-US"/>
        </w:rPr>
        <w:t xml:space="preserve"> </w:t>
      </w:r>
      <w:r>
        <w:rPr>
          <w:sz w:val="24"/>
          <w:szCs w:val="16"/>
          <w:highlight w:val="none"/>
          <w:lang w:val="en-US"/>
        </w:rPr>
        <w:t xml:space="preserve">Conducted </w:t>
      </w:r>
      <w:r>
        <w:rPr>
          <w:rFonts w:hint="eastAsia"/>
          <w:sz w:val="24"/>
          <w:szCs w:val="16"/>
          <w:highlight w:val="none"/>
          <w:lang w:val="en-US"/>
        </w:rPr>
        <w:t xml:space="preserve">RF requirements for </w:t>
      </w:r>
      <w:r>
        <w:rPr>
          <w:sz w:val="24"/>
          <w:szCs w:val="16"/>
          <w:highlight w:val="none"/>
          <w:lang w:val="en-US"/>
        </w:rPr>
        <w:t xml:space="preserve">NTN </w:t>
      </w:r>
      <w:r>
        <w:rPr>
          <w:rFonts w:hint="eastAsia"/>
          <w:sz w:val="24"/>
          <w:szCs w:val="16"/>
          <w:highlight w:val="none"/>
          <w:lang w:val="en-US"/>
        </w:rPr>
        <w:t xml:space="preserve">SAN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highlight w:val="none"/>
          <w:lang w:val="en-US" w:eastAsia="zh-CN"/>
        </w:rPr>
      </w:pPr>
      <w:r>
        <w:rPr>
          <w:rFonts w:hint="eastAsia" w:eastAsiaTheme="minorEastAsia"/>
          <w:iCs/>
          <w:highlight w:val="none"/>
          <w:lang w:val="en-US" w:eastAsia="zh-CN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b/>
          <w:bCs/>
          <w:iCs/>
          <w:highlight w:val="none"/>
          <w:lang w:eastAsia="zh-CN"/>
        </w:rPr>
      </w:pPr>
      <w:r>
        <w:rPr>
          <w:rFonts w:hint="eastAsia" w:eastAsiaTheme="minorEastAsia"/>
          <w:b/>
          <w:bCs/>
          <w:iCs/>
          <w:highlight w:val="none"/>
          <w:lang w:val="en-US" w:eastAsia="zh-CN"/>
        </w:rPr>
        <w:t xml:space="preserve"> A</w:t>
      </w:r>
      <w:r>
        <w:rPr>
          <w:rFonts w:eastAsiaTheme="minorEastAsia"/>
          <w:b/>
          <w:bCs/>
          <w:iCs/>
          <w:highlight w:val="none"/>
          <w:lang w:eastAsia="zh-CN"/>
        </w:rPr>
        <w:t>greements: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iCs/>
          <w:highlight w:val="none"/>
          <w:lang w:val="en-US" w:eastAsia="zh-CN"/>
        </w:rPr>
      </w:pPr>
      <w:r>
        <w:rPr>
          <w:rFonts w:hint="eastAsia" w:eastAsiaTheme="minorEastAsia"/>
          <w:iCs/>
          <w:highlight w:val="none"/>
          <w:lang w:val="en-US" w:eastAsia="zh-CN"/>
        </w:rPr>
        <w:t xml:space="preserve"> For SAN type 1-O, it could be further discussed once SAN type 1-H is complete.</w:t>
      </w:r>
    </w:p>
    <w:tbl>
      <w:tblPr>
        <w:tblStyle w:val="50"/>
        <w:tblW w:w="0" w:type="auto"/>
        <w:tblInd w:w="20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406"/>
        <w:gridCol w:w="2815"/>
        <w:gridCol w:w="2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3"/>
              <w:rPr>
                <w:bCs/>
                <w:highlight w:val="none"/>
              </w:rPr>
            </w:pPr>
            <w:r>
              <w:rPr>
                <w:highlight w:val="none"/>
              </w:rPr>
              <w:t>Requirement</w:t>
            </w:r>
          </w:p>
        </w:tc>
        <w:tc>
          <w:tcPr>
            <w:tcW w:w="0" w:type="auto"/>
          </w:tcPr>
          <w:p>
            <w:pPr>
              <w:pStyle w:val="63"/>
              <w:rPr>
                <w:rFonts w:hint="default" w:eastAsia="宋体"/>
                <w:bCs/>
                <w:highlight w:val="none"/>
                <w:lang w:val="en-US" w:eastAsia="zh-CN"/>
              </w:rPr>
            </w:pPr>
            <w:r>
              <w:rPr>
                <w:highlight w:val="none"/>
              </w:rPr>
              <w:t>Requirement clause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36.108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Updates to support SA NB-IoT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Updates to support SA Cat-M1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3"/>
              <w:rPr>
                <w:bCs/>
                <w:highlight w:val="none"/>
              </w:rPr>
            </w:pPr>
            <w:r>
              <w:rPr>
                <w:highlight w:val="none"/>
              </w:rPr>
              <w:t>Satellite Access Network output power</w:t>
            </w:r>
          </w:p>
        </w:tc>
        <w:tc>
          <w:tcPr>
            <w:tcW w:w="0" w:type="auto"/>
          </w:tcPr>
          <w:p>
            <w:pPr>
              <w:pStyle w:val="63"/>
              <w:rPr>
                <w:bCs/>
                <w:highlight w:val="none"/>
              </w:rPr>
            </w:pPr>
            <w:r>
              <w:rPr>
                <w:highlight w:val="none"/>
              </w:rPr>
              <w:t>6.2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reuse</w:t>
            </w:r>
            <w:r>
              <w:rPr>
                <w:sz w:val="18"/>
                <w:szCs w:val="18"/>
                <w:highlight w:val="none"/>
              </w:rPr>
              <w:t xml:space="preserve"> from 3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8</w:t>
            </w:r>
            <w:r>
              <w:rPr>
                <w:sz w:val="18"/>
                <w:szCs w:val="18"/>
                <w:highlight w:val="none"/>
              </w:rPr>
              <w:t>.10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8</w:t>
            </w:r>
            <w:r>
              <w:rPr>
                <w:sz w:val="18"/>
                <w:szCs w:val="18"/>
                <w:highlight w:val="none"/>
              </w:rPr>
              <w:t>; declaration based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reuse</w:t>
            </w:r>
            <w:r>
              <w:rPr>
                <w:sz w:val="18"/>
                <w:szCs w:val="18"/>
                <w:highlight w:val="none"/>
              </w:rPr>
              <w:t xml:space="preserve"> from 3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8</w:t>
            </w:r>
            <w:r>
              <w:rPr>
                <w:sz w:val="18"/>
                <w:szCs w:val="18"/>
                <w:highlight w:val="none"/>
              </w:rPr>
              <w:t>.10</w:t>
            </w:r>
            <w:r>
              <w:rPr>
                <w:rFonts w:hint="eastAsia"/>
                <w:sz w:val="18"/>
                <w:szCs w:val="18"/>
                <w:highlight w:val="none"/>
                <w:lang w:val="en-US" w:eastAsia="zh-CN"/>
              </w:rPr>
              <w:t>8</w:t>
            </w:r>
            <w:r>
              <w:rPr>
                <w:sz w:val="18"/>
                <w:szCs w:val="18"/>
                <w:highlight w:val="none"/>
              </w:rPr>
              <w:t>; declaration based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3"/>
              <w:rPr>
                <w:bCs/>
                <w:highlight w:val="none"/>
              </w:rPr>
            </w:pPr>
            <w:r>
              <w:rPr>
                <w:highlight w:val="none"/>
              </w:rPr>
              <w:t xml:space="preserve">Output power dynamics </w:t>
            </w:r>
          </w:p>
        </w:tc>
        <w:tc>
          <w:tcPr>
            <w:tcW w:w="0" w:type="auto"/>
          </w:tcPr>
          <w:p>
            <w:pPr>
              <w:pStyle w:val="63"/>
              <w:rPr>
                <w:bCs/>
                <w:highlight w:val="none"/>
              </w:rPr>
            </w:pPr>
            <w:r>
              <w:rPr>
                <w:highlight w:val="none"/>
              </w:rPr>
              <w:t>6.3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  <w:p>
            <w:pPr>
              <w:pStyle w:val="6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NOTE: “NB-IoT RB power dynamic range for in-band or guard band operation”: this requirement is not applicable to SA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Add 1.4MHz channel BW for total power dynamic range, remove other channel BW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3"/>
              <w:rPr>
                <w:bCs/>
                <w:highlight w:val="none"/>
              </w:rPr>
            </w:pPr>
            <w:r>
              <w:rPr>
                <w:highlight w:val="none"/>
              </w:rPr>
              <w:t xml:space="preserve">Transmit ON/OFF power </w:t>
            </w:r>
          </w:p>
        </w:tc>
        <w:tc>
          <w:tcPr>
            <w:tcW w:w="0" w:type="auto"/>
          </w:tcPr>
          <w:p>
            <w:pPr>
              <w:pStyle w:val="63"/>
              <w:rPr>
                <w:bCs/>
                <w:highlight w:val="none"/>
              </w:rPr>
            </w:pPr>
            <w:r>
              <w:rPr>
                <w:highlight w:val="none"/>
              </w:rPr>
              <w:t>NA</w:t>
            </w:r>
          </w:p>
        </w:tc>
        <w:tc>
          <w:tcPr>
            <w:tcW w:w="0" w:type="auto"/>
          </w:tcPr>
          <w:p>
            <w:pPr>
              <w:pStyle w:val="63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not applicable in NTN scenario, as only for TDD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3"/>
              <w:rPr>
                <w:bCs/>
                <w:highlight w:val="none"/>
              </w:rPr>
            </w:pPr>
            <w:r>
              <w:rPr>
                <w:highlight w:val="none"/>
              </w:rPr>
              <w:t>Frequency error</w:t>
            </w:r>
          </w:p>
        </w:tc>
        <w:tc>
          <w:tcPr>
            <w:tcW w:w="0" w:type="auto"/>
          </w:tcPr>
          <w:p>
            <w:pPr>
              <w:pStyle w:val="63"/>
              <w:rPr>
                <w:bCs/>
                <w:highlight w:val="none"/>
              </w:rPr>
            </w:pPr>
            <w:r>
              <w:rPr>
                <w:highlight w:val="none"/>
              </w:rPr>
              <w:t>6.5.1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reuse from 36.104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reuse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3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Modulation quality</w:t>
            </w:r>
          </w:p>
        </w:tc>
        <w:tc>
          <w:tcPr>
            <w:tcW w:w="0" w:type="auto"/>
          </w:tcPr>
          <w:p>
            <w:pPr>
              <w:pStyle w:val="63"/>
              <w:rPr>
                <w:bCs/>
                <w:highlight w:val="none"/>
              </w:rPr>
            </w:pPr>
            <w:r>
              <w:rPr>
                <w:highlight w:val="none"/>
              </w:rPr>
              <w:t>6.5.2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 xml:space="preserve">Reuse from 36.104; </w:t>
            </w:r>
          </w:p>
          <w:p>
            <w:pPr>
              <w:pStyle w:val="63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Set of considered modulations scheme may be revisited</w:t>
            </w:r>
          </w:p>
          <w:p>
            <w:pPr>
              <w:pStyle w:val="63"/>
              <w:rPr>
                <w:highlight w:val="none"/>
                <w:lang w:val="en-US" w:eastAsia="zh-CN"/>
              </w:rPr>
            </w:pP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reuse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3"/>
              <w:rPr>
                <w:bCs/>
                <w:highlight w:val="none"/>
              </w:rPr>
            </w:pPr>
            <w:r>
              <w:rPr>
                <w:highlight w:val="none"/>
                <w:lang w:eastAsia="zh-CN"/>
              </w:rPr>
              <w:t>Time alignment error</w:t>
            </w:r>
          </w:p>
        </w:tc>
        <w:tc>
          <w:tcPr>
            <w:tcW w:w="0" w:type="auto"/>
          </w:tcPr>
          <w:p>
            <w:pPr>
              <w:pStyle w:val="63"/>
              <w:rPr>
                <w:bCs/>
                <w:highlight w:val="none"/>
              </w:rPr>
            </w:pPr>
            <w:r>
              <w:rPr>
                <w:highlight w:val="none"/>
              </w:rPr>
              <w:t>NA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not applicable in NTN scenario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DL RS power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Not exist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 xml:space="preserve">DL RS power was E-UTRA specific. Motivation and the requirement value to be discussed next meeting. 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DL RS power was E-UTRA specific. Motivation and the requirement value to be discussed next meeting.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3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Occupied bandwidth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6.6.2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reuse from 3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t>.10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reuse from 3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</w:rPr>
              <w:t>.10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ACLR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6.6.3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 xml:space="preserve">Depend on co-existing discussion/simulation 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 xml:space="preserve">Depend on co-existing discussion/simulation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Operating band unwanted emissions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6.6.4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Depend on co-existing discussion/simulation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Depend on co-existing discussion/simulation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Transmitter spurious emissions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6.6.5</w:t>
            </w:r>
          </w:p>
        </w:tc>
        <w:tc>
          <w:tcPr>
            <w:tcW w:w="0" w:type="auto"/>
          </w:tcPr>
          <w:p>
            <w:pPr>
              <w:pStyle w:val="62"/>
              <w:rPr>
                <w:rFonts w:eastAsia="Yu Mincho"/>
                <w:highlight w:val="none"/>
              </w:rPr>
            </w:pPr>
          </w:p>
          <w:p>
            <w:pPr>
              <w:pStyle w:val="62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Follow ITU-R recommendation SM.329; consider 4 kHz measurement bandwidth as per ITU recommendation SM.1541-6</w:t>
            </w:r>
          </w:p>
          <w:p>
            <w:pPr>
              <w:pStyle w:val="63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Protection of the own SAN RX to be defined as well</w:t>
            </w:r>
          </w:p>
        </w:tc>
        <w:tc>
          <w:tcPr>
            <w:tcW w:w="0" w:type="auto"/>
          </w:tcPr>
          <w:p>
            <w:pPr>
              <w:pStyle w:val="62"/>
              <w:rPr>
                <w:sz w:val="16"/>
                <w:szCs w:val="16"/>
                <w:highlight w:val="none"/>
              </w:rPr>
            </w:pPr>
            <w:r>
              <w:rPr>
                <w:sz w:val="16"/>
                <w:szCs w:val="16"/>
                <w:highlight w:val="none"/>
              </w:rPr>
              <w:t>Follow ITU-R recommendation SM.329; consider 4 kHz measurement bandwidth as per ITU recommendation SM.1541-6</w:t>
            </w:r>
          </w:p>
          <w:p>
            <w:pPr>
              <w:pStyle w:val="63"/>
              <w:rPr>
                <w:highlight w:val="none"/>
              </w:rPr>
            </w:pPr>
            <w:r>
              <w:rPr>
                <w:sz w:val="16"/>
                <w:szCs w:val="16"/>
                <w:highlight w:val="none"/>
                <w:lang w:eastAsia="zh-CN"/>
              </w:rPr>
              <w:t>Protection of the own SAN RX to be defined as well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 xml:space="preserve">Transmitter intermodulation 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NA</w:t>
            </w:r>
          </w:p>
        </w:tc>
        <w:tc>
          <w:tcPr>
            <w:tcW w:w="0" w:type="auto"/>
          </w:tcPr>
          <w:p>
            <w:pPr>
              <w:pStyle w:val="63"/>
              <w:rPr>
                <w:b/>
                <w:highlight w:val="none"/>
              </w:rPr>
            </w:pPr>
            <w:r>
              <w:rPr>
                <w:highlight w:val="none"/>
              </w:rPr>
              <w:t>Follow the same with NTN SAN , i.e. not applicable in NTN scenario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Follow the same with NTN SAN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Reference sensitivity level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7.2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Add NB-IoT channel BW and REFSENS</w:t>
            </w:r>
          </w:p>
          <w:p>
            <w:pPr>
              <w:pStyle w:val="63"/>
              <w:rPr>
                <w:highlight w:val="none"/>
              </w:rPr>
            </w:pPr>
          </w:p>
          <w:p>
            <w:pPr>
              <w:pStyle w:val="73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Reuse the same </w:t>
            </w:r>
            <w:r>
              <w:rPr>
                <w:rFonts w:cs="Arial"/>
                <w:highlight w:val="none"/>
              </w:rPr>
              <w:t>FRC</w:t>
            </w:r>
            <w:r>
              <w:rPr>
                <w:rFonts w:hint="eastAsia" w:eastAsia="宋体" w:cs="Arial"/>
                <w:highlight w:val="none"/>
                <w:lang w:val="en-US" w:eastAsia="zh-CN"/>
              </w:rPr>
              <w:t xml:space="preserve"> and SNR f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or standalone NB-IoT </w:t>
            </w:r>
          </w:p>
          <w:p>
            <w:pPr>
              <w:pStyle w:val="73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Reuse the NF for NR over NTN. e.g. 7.4dB for GEO and 4.3dB for LEO</w:t>
            </w:r>
          </w:p>
          <w:p>
            <w:pPr>
              <w:pStyle w:val="73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Reuse the implementation margin as 2dB;</w:t>
            </w:r>
          </w:p>
          <w:p>
            <w:pPr>
              <w:pStyle w:val="63"/>
              <w:rPr>
                <w:highlight w:val="none"/>
              </w:rPr>
            </w:pP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Add 1.4MHz channel BW and REFRENS, remove other channel BW</w:t>
            </w:r>
          </w:p>
          <w:p>
            <w:pPr>
              <w:pStyle w:val="73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Reuse the same </w:t>
            </w:r>
            <w:r>
              <w:rPr>
                <w:rFonts w:cs="Arial"/>
                <w:highlight w:val="none"/>
              </w:rPr>
              <w:t>FRC</w:t>
            </w:r>
            <w:r>
              <w:rPr>
                <w:rFonts w:hint="eastAsia" w:eastAsia="宋体" w:cs="Arial"/>
                <w:highlight w:val="none"/>
                <w:lang w:val="en-US" w:eastAsia="zh-CN"/>
              </w:rPr>
              <w:t xml:space="preserve"> and SNR f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or 1.4MHz LTE BW </w:t>
            </w:r>
          </w:p>
          <w:p>
            <w:pPr>
              <w:pStyle w:val="73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Reuse the NF for NR over NTN. e.g. 7.4dB for GEO and 4.3dB for LEO</w:t>
            </w:r>
          </w:p>
          <w:p>
            <w:pPr>
              <w:pStyle w:val="73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Reuse the implementation margin as 2dB;</w:t>
            </w:r>
          </w:p>
          <w:p>
            <w:pPr>
              <w:pStyle w:val="6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 xml:space="preserve">Dynamic range 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7.3</w:t>
            </w:r>
          </w:p>
        </w:tc>
        <w:tc>
          <w:tcPr>
            <w:tcW w:w="0" w:type="auto"/>
          </w:tcPr>
          <w:p>
            <w:pPr>
              <w:pStyle w:val="73"/>
              <w:numPr>
                <w:ilvl w:val="0"/>
                <w:numId w:val="4"/>
              </w:numPr>
              <w:ind w:left="420" w:hanging="420"/>
              <w:rPr>
                <w:highlight w:val="none"/>
              </w:rPr>
            </w:pPr>
            <w:r>
              <w:rPr>
                <w:highlight w:val="none"/>
              </w:rPr>
              <w:t>Add NB-IoT channel BW</w:t>
            </w:r>
          </w:p>
          <w:p>
            <w:pPr>
              <w:pStyle w:val="73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For GEO,  to follow the same agreement without requirement defined.</w:t>
            </w:r>
          </w:p>
          <w:p>
            <w:pPr>
              <w:pStyle w:val="73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For LEO,</w:t>
            </w:r>
          </w:p>
          <w:p>
            <w:pPr>
              <w:pStyle w:val="73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Reuse the same </w:t>
            </w:r>
            <w:r>
              <w:rPr>
                <w:rFonts w:cs="Arial"/>
                <w:highlight w:val="none"/>
              </w:rPr>
              <w:t>FRC</w:t>
            </w:r>
            <w:r>
              <w:rPr>
                <w:rFonts w:hint="eastAsia" w:eastAsia="宋体" w:cs="Arial"/>
                <w:highlight w:val="none"/>
                <w:lang w:val="en-US" w:eastAsia="zh-CN"/>
              </w:rPr>
              <w:t xml:space="preserve"> and SNR f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or standalone NB-IoT  </w:t>
            </w:r>
          </w:p>
          <w:p>
            <w:pPr>
              <w:pStyle w:val="73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Reuse the NF for NR over NTN. e.g. 7.4dB for GEO and 4.3dB for LEO</w:t>
            </w:r>
          </w:p>
          <w:p>
            <w:pPr>
              <w:pStyle w:val="73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FFS for IoT Level for IoT over NTN</w:t>
            </w:r>
          </w:p>
          <w:p>
            <w:pPr>
              <w:pStyle w:val="73"/>
              <w:numPr>
                <w:ilvl w:val="0"/>
                <w:numId w:val="4"/>
              </w:numPr>
              <w:ind w:left="420" w:hanging="420"/>
              <w:rPr>
                <w:highlight w:val="none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Ruse the implementation margin as 2.5dB;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Add 1.4MHz channel BW</w:t>
            </w:r>
          </w:p>
          <w:p>
            <w:pPr>
              <w:pStyle w:val="73"/>
              <w:bidi w:val="0"/>
              <w:ind w:left="0" w:leftChars="0" w:firstLine="0" w:firstLine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For GEO,  to follow the same agreement without requirement defined.</w:t>
            </w:r>
          </w:p>
          <w:p>
            <w:pPr>
              <w:pStyle w:val="73"/>
              <w:bidi w:val="0"/>
              <w:ind w:left="0" w:leftChars="0" w:firstLine="0" w:firstLine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For LEO,</w:t>
            </w:r>
          </w:p>
          <w:p>
            <w:pPr>
              <w:pStyle w:val="73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Reuse the same </w:t>
            </w:r>
            <w:r>
              <w:rPr>
                <w:rFonts w:cs="Arial"/>
                <w:highlight w:val="none"/>
              </w:rPr>
              <w:t>FRC A</w:t>
            </w:r>
            <w:r>
              <w:rPr>
                <w:rFonts w:hint="eastAsia" w:eastAsia="宋体" w:cs="Arial"/>
                <w:highlight w:val="none"/>
                <w:lang w:val="en-US" w:eastAsia="zh-CN"/>
              </w:rPr>
              <w:t>2</w:t>
            </w:r>
            <w:r>
              <w:rPr>
                <w:rFonts w:cs="Arial"/>
                <w:highlight w:val="none"/>
              </w:rPr>
              <w:t>-1</w:t>
            </w:r>
            <w:r>
              <w:rPr>
                <w:rFonts w:hint="eastAsia" w:eastAsia="宋体" w:cs="Arial"/>
                <w:highlight w:val="none"/>
                <w:lang w:val="en-US" w:eastAsia="zh-CN"/>
              </w:rPr>
              <w:t xml:space="preserve"> and SNR f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or 1.4MHz LTE BW  </w:t>
            </w:r>
          </w:p>
          <w:p>
            <w:pPr>
              <w:pStyle w:val="73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Reuse the NF for NR over NTN. e.g. 7.4dB for GEO and 4.3dB for LEO</w:t>
            </w:r>
          </w:p>
          <w:p>
            <w:pPr>
              <w:pStyle w:val="73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Reuse IoT 15dB for NR over NTN</w:t>
            </w:r>
          </w:p>
          <w:p>
            <w:pPr>
              <w:pStyle w:val="73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Ruse the implementation margin as 2.5dB;</w:t>
            </w:r>
          </w:p>
          <w:p>
            <w:pPr>
              <w:pStyle w:val="63"/>
              <w:rPr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 xml:space="preserve">ACS 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7.4.1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 xml:space="preserve">Depend on co-existing simulation 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Depend on co-existing simulation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 xml:space="preserve">In-band blocking 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NA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Follow the same</w:t>
            </w:r>
            <w:r>
              <w:rPr>
                <w:highlight w:val="none"/>
                <w:lang w:val="en-US" w:eastAsia="zh-CN"/>
              </w:rPr>
              <w:t xml:space="preserve"> agreement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val="en-US" w:eastAsia="zh-CN"/>
              </w:rPr>
              <w:t>for NR over</w:t>
            </w:r>
            <w:r>
              <w:rPr>
                <w:highlight w:val="none"/>
              </w:rPr>
              <w:t xml:space="preserve"> NTN SAN, i.e. </w:t>
            </w:r>
            <w:r>
              <w:rPr>
                <w:sz w:val="16"/>
                <w:szCs w:val="16"/>
                <w:highlight w:val="none"/>
              </w:rPr>
              <w:t>not applicable in NTN scenario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Follow the same</w:t>
            </w:r>
            <w:r>
              <w:rPr>
                <w:highlight w:val="none"/>
                <w:lang w:val="en-US" w:eastAsia="zh-CN"/>
              </w:rPr>
              <w:t xml:space="preserve"> agreement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val="en-US" w:eastAsia="zh-CN"/>
              </w:rPr>
              <w:t>for NR over</w:t>
            </w:r>
            <w:r>
              <w:rPr>
                <w:highlight w:val="none"/>
              </w:rPr>
              <w:t xml:space="preserve"> NTN SAN i.e. </w:t>
            </w:r>
            <w:r>
              <w:rPr>
                <w:sz w:val="16"/>
                <w:szCs w:val="16"/>
                <w:highlight w:val="none"/>
              </w:rPr>
              <w:t>not applicable in NTN scenario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 xml:space="preserve">Out-of-band blocking 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7.5</w:t>
            </w:r>
          </w:p>
        </w:tc>
        <w:tc>
          <w:tcPr>
            <w:tcW w:w="0" w:type="auto"/>
          </w:tcPr>
          <w:p>
            <w:pPr>
              <w:pStyle w:val="6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Reuse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from TS38.108</w:t>
            </w:r>
          </w:p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Follow worst case scenarios identified in 38.863 for NR NTN, as baseline.</w:t>
            </w:r>
          </w:p>
        </w:tc>
        <w:tc>
          <w:tcPr>
            <w:tcW w:w="0" w:type="auto"/>
          </w:tcPr>
          <w:p>
            <w:pPr>
              <w:pStyle w:val="63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Reuse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from TS38.108</w:t>
            </w:r>
          </w:p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Follow worst case scenarios identified in 38.863 for NR NTN, as baseline.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 xml:space="preserve">Receiver spurious emissions 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7.6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Reuse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the requirement from 38.108</w:t>
            </w:r>
          </w:p>
        </w:tc>
        <w:tc>
          <w:tcPr>
            <w:tcW w:w="0" w:type="auto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  <w:t>Reuse</w:t>
            </w:r>
            <w:r>
              <w:rPr>
                <w:rFonts w:hint="eastAsia"/>
                <w:highlight w:val="none"/>
                <w:lang w:val="en-US" w:eastAsia="zh-CN"/>
              </w:rPr>
              <w:t xml:space="preserve"> the requirement from 38.108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Receiver intermodulation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NA</w:t>
            </w:r>
          </w:p>
        </w:tc>
        <w:tc>
          <w:tcPr>
            <w:tcW w:w="0" w:type="auto"/>
          </w:tcPr>
          <w:p>
            <w:pPr>
              <w:pStyle w:val="63"/>
              <w:rPr>
                <w:b/>
                <w:highlight w:val="none"/>
              </w:rPr>
            </w:pPr>
            <w:r>
              <w:rPr>
                <w:highlight w:val="none"/>
              </w:rPr>
              <w:t>Follow the same</w:t>
            </w:r>
            <w:r>
              <w:rPr>
                <w:highlight w:val="none"/>
                <w:lang w:val="en-US" w:eastAsia="zh-CN"/>
              </w:rPr>
              <w:t xml:space="preserve"> agreement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val="en-US" w:eastAsia="zh-CN"/>
              </w:rPr>
              <w:t>for NR over</w:t>
            </w:r>
            <w:r>
              <w:rPr>
                <w:highlight w:val="none"/>
              </w:rPr>
              <w:t xml:space="preserve"> NTN SAN , i.e. not applicable in NTN scenario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Follow the same</w:t>
            </w:r>
            <w:r>
              <w:rPr>
                <w:highlight w:val="none"/>
                <w:lang w:val="en-US" w:eastAsia="zh-CN"/>
              </w:rPr>
              <w:t xml:space="preserve"> agreement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  <w:lang w:val="en-US" w:eastAsia="zh-CN"/>
              </w:rPr>
              <w:t>for NR over</w:t>
            </w:r>
            <w:r>
              <w:rPr>
                <w:highlight w:val="none"/>
              </w:rPr>
              <w:t xml:space="preserve"> NTN SAN  i.e. not applicable in NTN scenario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 xml:space="preserve">In-channel selectivity </w:t>
            </w:r>
          </w:p>
        </w:tc>
        <w:tc>
          <w:tcPr>
            <w:tcW w:w="0" w:type="auto"/>
          </w:tcPr>
          <w:p>
            <w:pPr>
              <w:pStyle w:val="63"/>
              <w:rPr>
                <w:highlight w:val="none"/>
              </w:rPr>
            </w:pPr>
            <w:r>
              <w:rPr>
                <w:highlight w:val="none"/>
              </w:rPr>
              <w:t>7.8</w:t>
            </w:r>
          </w:p>
        </w:tc>
        <w:tc>
          <w:tcPr>
            <w:tcW w:w="0" w:type="auto"/>
          </w:tcPr>
          <w:p>
            <w:pPr>
              <w:pStyle w:val="63"/>
              <w:rPr>
                <w:rFonts w:hint="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Not needed</w:t>
            </w:r>
          </w:p>
          <w:p>
            <w:pPr>
              <w:pStyle w:val="63"/>
              <w:rPr>
                <w:highlight w:val="none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[Not needed as no requirement for NB-IoT SA in TS36.104.]</w:t>
            </w:r>
          </w:p>
        </w:tc>
        <w:tc>
          <w:tcPr>
            <w:tcW w:w="0" w:type="auto"/>
          </w:tcPr>
          <w:p>
            <w:pPr>
              <w:pStyle w:val="73"/>
              <w:numPr>
                <w:ilvl w:val="0"/>
                <w:numId w:val="4"/>
              </w:numPr>
              <w:ind w:left="420" w:hanging="420"/>
              <w:rPr>
                <w:rFonts w:hint="eastAsia" w:ascii="Times New Roman" w:hAnsi="Times New Roman" w:eastAsia="Times New Roman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Times New Roman" w:cs="Times New Roman"/>
                <w:kern w:val="0"/>
                <w:sz w:val="20"/>
                <w:szCs w:val="20"/>
                <w:highlight w:val="none"/>
                <w:vertAlign w:val="baseline"/>
                <w:lang w:val="en-US" w:eastAsia="zh-CN" w:bidi="ar-SA"/>
              </w:rPr>
              <w:t>For GEO and LEO, to reuse ICS level as 12 dB for GEO, 24dB for LEO used for NR over NTN in Rel-17.</w:t>
            </w:r>
          </w:p>
          <w:p>
            <w:pPr>
              <w:pStyle w:val="73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Reuse the same </w:t>
            </w:r>
            <w:r>
              <w:rPr>
                <w:rFonts w:cs="Arial"/>
                <w:highlight w:val="none"/>
              </w:rPr>
              <w:t>FRC A</w:t>
            </w:r>
            <w:r>
              <w:rPr>
                <w:rFonts w:hint="eastAsia" w:eastAsia="宋体" w:cs="Arial"/>
                <w:highlight w:val="none"/>
                <w:lang w:val="en-US" w:eastAsia="zh-CN"/>
              </w:rPr>
              <w:t>1</w:t>
            </w:r>
            <w:r>
              <w:rPr>
                <w:rFonts w:cs="Arial"/>
                <w:highlight w:val="none"/>
              </w:rPr>
              <w:t>-</w:t>
            </w:r>
            <w:r>
              <w:rPr>
                <w:rFonts w:hint="eastAsia" w:eastAsia="宋体" w:cs="Arial"/>
                <w:highlight w:val="none"/>
                <w:lang w:val="en-US" w:eastAsia="zh-CN"/>
              </w:rPr>
              <w:t>4 and SNR f</w:t>
            </w: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 xml:space="preserve">or 1.4MHz LTE BW; </w:t>
            </w:r>
          </w:p>
          <w:p>
            <w:pPr>
              <w:pStyle w:val="73"/>
              <w:numPr>
                <w:ilvl w:val="0"/>
                <w:numId w:val="4"/>
              </w:numPr>
              <w:bidi w:val="0"/>
              <w:ind w:left="420" w:leftChars="0" w:hanging="420" w:firstLineChars="0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Reuse the NF for NR over NTN. e.g. 7.4dB for GEO and 4.3dB for LEO</w:t>
            </w:r>
          </w:p>
          <w:p>
            <w:pPr>
              <w:pStyle w:val="73"/>
              <w:numPr>
                <w:ilvl w:val="0"/>
                <w:numId w:val="4"/>
              </w:numPr>
              <w:ind w:left="420" w:hanging="420"/>
              <w:rPr>
                <w:highlight w:val="none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Reuse the implementation margin as 2dB;</w:t>
            </w:r>
          </w:p>
        </w:tc>
      </w:tr>
    </w:tbl>
    <w:p>
      <w:pPr>
        <w:pStyle w:val="89"/>
        <w:spacing w:after="120"/>
        <w:ind w:firstLine="0" w:firstLineChars="0"/>
        <w:rPr>
          <w:rFonts w:eastAsiaTheme="minorEastAsia"/>
          <w:i/>
          <w:color w:val="0070C0"/>
          <w:highlight w:val="none"/>
          <w:lang w:val="en-US" w:eastAsia="zh-CN"/>
        </w:rPr>
      </w:pP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924D0"/>
    <w:multiLevelType w:val="multilevel"/>
    <w:tmpl w:val="1E8924D0"/>
    <w:lvl w:ilvl="0" w:tentative="0">
      <w:start w:val="1"/>
      <w:numFmt w:val="decimal"/>
      <w:pStyle w:val="159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3504359"/>
    <w:multiLevelType w:val="singleLevel"/>
    <w:tmpl w:val="43504359"/>
    <w:lvl w:ilvl="0" w:tentative="0">
      <w:start w:val="1"/>
      <w:numFmt w:val="bullet"/>
      <w:lvlText w:val="•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2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3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oNotDisplayPageBoundaries w:val="1"/>
  <w:trackRevisions w:val="1"/>
  <w:documentProtection w:enforcement="0"/>
  <w:defaultTabStop w:val="420"/>
  <w:hyphenationZone w:val="425"/>
  <w:drawingGridHorizontalSpacing w:val="100"/>
  <w:drawingGridVerticalSpacing w:val="156"/>
  <w:noPunctuationKerning w:val="1"/>
  <w:characterSpacingControl w:val="compressPunctuation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EAC"/>
    <w:rsid w:val="000363CC"/>
    <w:rsid w:val="000371E4"/>
    <w:rsid w:val="00040CD4"/>
    <w:rsid w:val="00041630"/>
    <w:rsid w:val="0004178B"/>
    <w:rsid w:val="00042511"/>
    <w:rsid w:val="00043006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D80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C3C"/>
    <w:rsid w:val="00183889"/>
    <w:rsid w:val="00183CEE"/>
    <w:rsid w:val="00184E49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0AAD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327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3FC7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749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4C1"/>
    <w:rsid w:val="00407525"/>
    <w:rsid w:val="00410062"/>
    <w:rsid w:val="004109BD"/>
    <w:rsid w:val="00410CC7"/>
    <w:rsid w:val="00410D07"/>
    <w:rsid w:val="00410D81"/>
    <w:rsid w:val="0041154F"/>
    <w:rsid w:val="00411C0A"/>
    <w:rsid w:val="00411D34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477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75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9C9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5E5B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4BC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A75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40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40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BDD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6D6"/>
    <w:rsid w:val="0072471D"/>
    <w:rsid w:val="007248A9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01E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4DE4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DA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2F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9EA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2CFA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C7B19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9F2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245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9BB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97F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156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84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9C6"/>
    <w:rsid w:val="00C71CB4"/>
    <w:rsid w:val="00C721DD"/>
    <w:rsid w:val="00C72B24"/>
    <w:rsid w:val="00C73D48"/>
    <w:rsid w:val="00C77553"/>
    <w:rsid w:val="00C779D2"/>
    <w:rsid w:val="00C81043"/>
    <w:rsid w:val="00C811DF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917"/>
    <w:rsid w:val="00CA3062"/>
    <w:rsid w:val="00CA4414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4C5"/>
    <w:rsid w:val="00CB1FBD"/>
    <w:rsid w:val="00CB24E5"/>
    <w:rsid w:val="00CB3688"/>
    <w:rsid w:val="00CB3D62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8B1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2DA0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A81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37C0A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A39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4FB7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1288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5AA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15F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60D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473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5F6B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932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2E70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B51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6E90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11B17D4"/>
    <w:rsid w:val="013E0C45"/>
    <w:rsid w:val="015B0AAC"/>
    <w:rsid w:val="01853353"/>
    <w:rsid w:val="01A56FAB"/>
    <w:rsid w:val="02207A05"/>
    <w:rsid w:val="023114DC"/>
    <w:rsid w:val="02641A2A"/>
    <w:rsid w:val="026903E1"/>
    <w:rsid w:val="029401D0"/>
    <w:rsid w:val="02AC1530"/>
    <w:rsid w:val="02C75875"/>
    <w:rsid w:val="02C87CD8"/>
    <w:rsid w:val="02F73BFA"/>
    <w:rsid w:val="031A33AB"/>
    <w:rsid w:val="033676B5"/>
    <w:rsid w:val="0360625D"/>
    <w:rsid w:val="03A80371"/>
    <w:rsid w:val="03B902E9"/>
    <w:rsid w:val="042472A1"/>
    <w:rsid w:val="04573544"/>
    <w:rsid w:val="04622D8F"/>
    <w:rsid w:val="04A33028"/>
    <w:rsid w:val="04A8786A"/>
    <w:rsid w:val="04C21305"/>
    <w:rsid w:val="0503447F"/>
    <w:rsid w:val="0504612E"/>
    <w:rsid w:val="055A351B"/>
    <w:rsid w:val="05986884"/>
    <w:rsid w:val="05A318CE"/>
    <w:rsid w:val="05B30D70"/>
    <w:rsid w:val="05D52A67"/>
    <w:rsid w:val="063467E5"/>
    <w:rsid w:val="0643066D"/>
    <w:rsid w:val="067D2939"/>
    <w:rsid w:val="067E7AFF"/>
    <w:rsid w:val="07045255"/>
    <w:rsid w:val="072C24E3"/>
    <w:rsid w:val="073B0A15"/>
    <w:rsid w:val="07483ED9"/>
    <w:rsid w:val="075A438B"/>
    <w:rsid w:val="07AB0244"/>
    <w:rsid w:val="07DF7492"/>
    <w:rsid w:val="08025F05"/>
    <w:rsid w:val="081852B6"/>
    <w:rsid w:val="08EF06BF"/>
    <w:rsid w:val="08FF328A"/>
    <w:rsid w:val="090F1D8C"/>
    <w:rsid w:val="096C5763"/>
    <w:rsid w:val="099D0CC7"/>
    <w:rsid w:val="09AA08CD"/>
    <w:rsid w:val="09E83335"/>
    <w:rsid w:val="0A3840AE"/>
    <w:rsid w:val="0A467BD4"/>
    <w:rsid w:val="0A4804A9"/>
    <w:rsid w:val="0A7A3A6F"/>
    <w:rsid w:val="0AB35C28"/>
    <w:rsid w:val="0AC70E4D"/>
    <w:rsid w:val="0BDE73C4"/>
    <w:rsid w:val="0C761651"/>
    <w:rsid w:val="0C9639D1"/>
    <w:rsid w:val="0CA63A5D"/>
    <w:rsid w:val="0D6F3147"/>
    <w:rsid w:val="0DA4580A"/>
    <w:rsid w:val="0DC957F7"/>
    <w:rsid w:val="0E237902"/>
    <w:rsid w:val="0E7C32F1"/>
    <w:rsid w:val="0E874361"/>
    <w:rsid w:val="0EDB3DFD"/>
    <w:rsid w:val="0F094B22"/>
    <w:rsid w:val="0F302047"/>
    <w:rsid w:val="0F3E76EF"/>
    <w:rsid w:val="0F867EEE"/>
    <w:rsid w:val="0F9A6DFD"/>
    <w:rsid w:val="0FA511A3"/>
    <w:rsid w:val="0FC21761"/>
    <w:rsid w:val="0FFF0097"/>
    <w:rsid w:val="1035468C"/>
    <w:rsid w:val="10370C76"/>
    <w:rsid w:val="10475C88"/>
    <w:rsid w:val="104C4194"/>
    <w:rsid w:val="10502D2C"/>
    <w:rsid w:val="108F0E1E"/>
    <w:rsid w:val="114B0315"/>
    <w:rsid w:val="114F50F0"/>
    <w:rsid w:val="11513D9D"/>
    <w:rsid w:val="11710B4F"/>
    <w:rsid w:val="119D6B25"/>
    <w:rsid w:val="11A056A8"/>
    <w:rsid w:val="11A669BC"/>
    <w:rsid w:val="12184B7C"/>
    <w:rsid w:val="12562F4F"/>
    <w:rsid w:val="12A467FF"/>
    <w:rsid w:val="12B93306"/>
    <w:rsid w:val="12E62365"/>
    <w:rsid w:val="13186832"/>
    <w:rsid w:val="131A32F7"/>
    <w:rsid w:val="13303256"/>
    <w:rsid w:val="134F7852"/>
    <w:rsid w:val="13974F01"/>
    <w:rsid w:val="13DD7ABD"/>
    <w:rsid w:val="141C5906"/>
    <w:rsid w:val="142D2518"/>
    <w:rsid w:val="14304C8C"/>
    <w:rsid w:val="14344B1E"/>
    <w:rsid w:val="14774D1A"/>
    <w:rsid w:val="148131EC"/>
    <w:rsid w:val="148970A9"/>
    <w:rsid w:val="14E9666F"/>
    <w:rsid w:val="150E374B"/>
    <w:rsid w:val="153F0926"/>
    <w:rsid w:val="155D054E"/>
    <w:rsid w:val="15987C12"/>
    <w:rsid w:val="15B6151F"/>
    <w:rsid w:val="15B67958"/>
    <w:rsid w:val="15D53F66"/>
    <w:rsid w:val="1638470C"/>
    <w:rsid w:val="164957C0"/>
    <w:rsid w:val="16B769EB"/>
    <w:rsid w:val="17307051"/>
    <w:rsid w:val="17637892"/>
    <w:rsid w:val="176B08EF"/>
    <w:rsid w:val="18217321"/>
    <w:rsid w:val="18615A28"/>
    <w:rsid w:val="186865A5"/>
    <w:rsid w:val="1886040C"/>
    <w:rsid w:val="18B25C57"/>
    <w:rsid w:val="18B451EE"/>
    <w:rsid w:val="18B856FA"/>
    <w:rsid w:val="18E04972"/>
    <w:rsid w:val="18F53F52"/>
    <w:rsid w:val="19337DCC"/>
    <w:rsid w:val="19453C57"/>
    <w:rsid w:val="199D0935"/>
    <w:rsid w:val="1A467FBB"/>
    <w:rsid w:val="1AD15F16"/>
    <w:rsid w:val="1B111C41"/>
    <w:rsid w:val="1B2D79CD"/>
    <w:rsid w:val="1B744DD8"/>
    <w:rsid w:val="1BA52E0D"/>
    <w:rsid w:val="1BF50E1E"/>
    <w:rsid w:val="1C067DE7"/>
    <w:rsid w:val="1C6D58B4"/>
    <w:rsid w:val="1C91599E"/>
    <w:rsid w:val="1C9408FD"/>
    <w:rsid w:val="1D1835B6"/>
    <w:rsid w:val="1D741944"/>
    <w:rsid w:val="1D9416B2"/>
    <w:rsid w:val="1DB754DC"/>
    <w:rsid w:val="1E1A1F3F"/>
    <w:rsid w:val="1E234B4B"/>
    <w:rsid w:val="1E31232E"/>
    <w:rsid w:val="1E7A4C63"/>
    <w:rsid w:val="1EC919BF"/>
    <w:rsid w:val="1F9B19AE"/>
    <w:rsid w:val="1FB302A1"/>
    <w:rsid w:val="1FB73AAB"/>
    <w:rsid w:val="1FDD2BCF"/>
    <w:rsid w:val="20073F2C"/>
    <w:rsid w:val="20153BA1"/>
    <w:rsid w:val="202F2997"/>
    <w:rsid w:val="20501486"/>
    <w:rsid w:val="207B2ADA"/>
    <w:rsid w:val="20891E56"/>
    <w:rsid w:val="208E6192"/>
    <w:rsid w:val="210C35F1"/>
    <w:rsid w:val="211D505B"/>
    <w:rsid w:val="2148239E"/>
    <w:rsid w:val="216653B0"/>
    <w:rsid w:val="22202406"/>
    <w:rsid w:val="22956388"/>
    <w:rsid w:val="22A1313E"/>
    <w:rsid w:val="234931CD"/>
    <w:rsid w:val="23792988"/>
    <w:rsid w:val="238508AF"/>
    <w:rsid w:val="23A617AF"/>
    <w:rsid w:val="24502F4E"/>
    <w:rsid w:val="24931E5E"/>
    <w:rsid w:val="24963E94"/>
    <w:rsid w:val="24A763BD"/>
    <w:rsid w:val="24E710A5"/>
    <w:rsid w:val="24FD0C42"/>
    <w:rsid w:val="25001F1C"/>
    <w:rsid w:val="253B23BF"/>
    <w:rsid w:val="25970984"/>
    <w:rsid w:val="25D0285E"/>
    <w:rsid w:val="25E124ED"/>
    <w:rsid w:val="262A0FC5"/>
    <w:rsid w:val="267672DB"/>
    <w:rsid w:val="267E0B13"/>
    <w:rsid w:val="26841480"/>
    <w:rsid w:val="26BF75F6"/>
    <w:rsid w:val="26FE3FD4"/>
    <w:rsid w:val="27542B52"/>
    <w:rsid w:val="275814A9"/>
    <w:rsid w:val="2759520B"/>
    <w:rsid w:val="28031259"/>
    <w:rsid w:val="28151B92"/>
    <w:rsid w:val="28234F08"/>
    <w:rsid w:val="28673D8E"/>
    <w:rsid w:val="286D1944"/>
    <w:rsid w:val="292501FF"/>
    <w:rsid w:val="29726F20"/>
    <w:rsid w:val="297F602B"/>
    <w:rsid w:val="29850FFF"/>
    <w:rsid w:val="29F7110B"/>
    <w:rsid w:val="29F80DBB"/>
    <w:rsid w:val="2A152875"/>
    <w:rsid w:val="2A35075F"/>
    <w:rsid w:val="2AB47222"/>
    <w:rsid w:val="2ABC2482"/>
    <w:rsid w:val="2AE17E3C"/>
    <w:rsid w:val="2AE62C95"/>
    <w:rsid w:val="2AE91593"/>
    <w:rsid w:val="2AEA69AF"/>
    <w:rsid w:val="2B03249C"/>
    <w:rsid w:val="2B322E2E"/>
    <w:rsid w:val="2B426AB0"/>
    <w:rsid w:val="2BB03F73"/>
    <w:rsid w:val="2BDD1537"/>
    <w:rsid w:val="2BF5313F"/>
    <w:rsid w:val="2C4E0F14"/>
    <w:rsid w:val="2C514637"/>
    <w:rsid w:val="2C574901"/>
    <w:rsid w:val="2C740FC0"/>
    <w:rsid w:val="2CBA5821"/>
    <w:rsid w:val="2CD7184A"/>
    <w:rsid w:val="2CE441BE"/>
    <w:rsid w:val="2CEB4E4C"/>
    <w:rsid w:val="2CED60E1"/>
    <w:rsid w:val="2D41764C"/>
    <w:rsid w:val="2D8730CE"/>
    <w:rsid w:val="2DCB1C62"/>
    <w:rsid w:val="2E2339D3"/>
    <w:rsid w:val="2E46730F"/>
    <w:rsid w:val="2E5C466B"/>
    <w:rsid w:val="2E643F62"/>
    <w:rsid w:val="2EB86A5A"/>
    <w:rsid w:val="2F641F4F"/>
    <w:rsid w:val="2F8B1999"/>
    <w:rsid w:val="302442D9"/>
    <w:rsid w:val="303460F0"/>
    <w:rsid w:val="305808D2"/>
    <w:rsid w:val="307D27CB"/>
    <w:rsid w:val="30B705CD"/>
    <w:rsid w:val="30B73523"/>
    <w:rsid w:val="31016278"/>
    <w:rsid w:val="310B2E67"/>
    <w:rsid w:val="315322A0"/>
    <w:rsid w:val="315360BD"/>
    <w:rsid w:val="31570A3D"/>
    <w:rsid w:val="31804292"/>
    <w:rsid w:val="31AE0F7B"/>
    <w:rsid w:val="31C75992"/>
    <w:rsid w:val="32145F75"/>
    <w:rsid w:val="323B5283"/>
    <w:rsid w:val="32D73973"/>
    <w:rsid w:val="32F644CA"/>
    <w:rsid w:val="33024B42"/>
    <w:rsid w:val="330B5AEF"/>
    <w:rsid w:val="337C596E"/>
    <w:rsid w:val="34211DC3"/>
    <w:rsid w:val="343170A9"/>
    <w:rsid w:val="34457C7B"/>
    <w:rsid w:val="34525C56"/>
    <w:rsid w:val="34641C60"/>
    <w:rsid w:val="34656C11"/>
    <w:rsid w:val="34BD76C2"/>
    <w:rsid w:val="34E838FF"/>
    <w:rsid w:val="35326A28"/>
    <w:rsid w:val="35CE36F4"/>
    <w:rsid w:val="36425C10"/>
    <w:rsid w:val="36545850"/>
    <w:rsid w:val="365509D9"/>
    <w:rsid w:val="36E376B5"/>
    <w:rsid w:val="374851A2"/>
    <w:rsid w:val="37B16DBF"/>
    <w:rsid w:val="38114253"/>
    <w:rsid w:val="38C55465"/>
    <w:rsid w:val="38E40EC7"/>
    <w:rsid w:val="394B0ECC"/>
    <w:rsid w:val="397B2105"/>
    <w:rsid w:val="39992131"/>
    <w:rsid w:val="399D0C47"/>
    <w:rsid w:val="39D21188"/>
    <w:rsid w:val="39F76E63"/>
    <w:rsid w:val="3A141F6C"/>
    <w:rsid w:val="3A165225"/>
    <w:rsid w:val="3A3A37F9"/>
    <w:rsid w:val="3A681645"/>
    <w:rsid w:val="3A7C2502"/>
    <w:rsid w:val="3A982B1B"/>
    <w:rsid w:val="3AA052FB"/>
    <w:rsid w:val="3AC44273"/>
    <w:rsid w:val="3B0F4575"/>
    <w:rsid w:val="3B234409"/>
    <w:rsid w:val="3B24199A"/>
    <w:rsid w:val="3B32087E"/>
    <w:rsid w:val="3B447DC6"/>
    <w:rsid w:val="3BA50EFF"/>
    <w:rsid w:val="3BAD37B1"/>
    <w:rsid w:val="3C1C5AC1"/>
    <w:rsid w:val="3C4708C8"/>
    <w:rsid w:val="3C835231"/>
    <w:rsid w:val="3C916A88"/>
    <w:rsid w:val="3CA95CFB"/>
    <w:rsid w:val="3D604A2D"/>
    <w:rsid w:val="3D636270"/>
    <w:rsid w:val="3D895406"/>
    <w:rsid w:val="3D946AC2"/>
    <w:rsid w:val="3DD526CA"/>
    <w:rsid w:val="3DED6875"/>
    <w:rsid w:val="3DFC0110"/>
    <w:rsid w:val="3E217D33"/>
    <w:rsid w:val="3E8D718F"/>
    <w:rsid w:val="3EC93A3D"/>
    <w:rsid w:val="3F0B241D"/>
    <w:rsid w:val="3F49534E"/>
    <w:rsid w:val="3F5B2C54"/>
    <w:rsid w:val="3F694953"/>
    <w:rsid w:val="3FD737E3"/>
    <w:rsid w:val="3FDD422E"/>
    <w:rsid w:val="401B2443"/>
    <w:rsid w:val="40A112A5"/>
    <w:rsid w:val="40B70DDB"/>
    <w:rsid w:val="40BA3336"/>
    <w:rsid w:val="40CF4320"/>
    <w:rsid w:val="410913DA"/>
    <w:rsid w:val="41542A12"/>
    <w:rsid w:val="416E443A"/>
    <w:rsid w:val="41940949"/>
    <w:rsid w:val="419463F2"/>
    <w:rsid w:val="41AD1A1F"/>
    <w:rsid w:val="41D506BB"/>
    <w:rsid w:val="41EF7F1F"/>
    <w:rsid w:val="43201925"/>
    <w:rsid w:val="43205793"/>
    <w:rsid w:val="4335357A"/>
    <w:rsid w:val="436857B2"/>
    <w:rsid w:val="438D0B34"/>
    <w:rsid w:val="438E7C44"/>
    <w:rsid w:val="43F438D8"/>
    <w:rsid w:val="441A7B15"/>
    <w:rsid w:val="44302DF3"/>
    <w:rsid w:val="44B40D3D"/>
    <w:rsid w:val="450B6A79"/>
    <w:rsid w:val="45A63736"/>
    <w:rsid w:val="45B17F93"/>
    <w:rsid w:val="45BC60E5"/>
    <w:rsid w:val="45C3571E"/>
    <w:rsid w:val="45CF757C"/>
    <w:rsid w:val="45DA3853"/>
    <w:rsid w:val="45FA07D0"/>
    <w:rsid w:val="461B6696"/>
    <w:rsid w:val="467D52CE"/>
    <w:rsid w:val="46917266"/>
    <w:rsid w:val="476A549A"/>
    <w:rsid w:val="47C51F02"/>
    <w:rsid w:val="47F3456B"/>
    <w:rsid w:val="48297809"/>
    <w:rsid w:val="486A7EDB"/>
    <w:rsid w:val="48D7123A"/>
    <w:rsid w:val="48FE69A5"/>
    <w:rsid w:val="492C5397"/>
    <w:rsid w:val="4930333B"/>
    <w:rsid w:val="49724F29"/>
    <w:rsid w:val="49755A2A"/>
    <w:rsid w:val="497F5B68"/>
    <w:rsid w:val="49934D61"/>
    <w:rsid w:val="49C75132"/>
    <w:rsid w:val="49E17959"/>
    <w:rsid w:val="4A1944E8"/>
    <w:rsid w:val="4A3445EF"/>
    <w:rsid w:val="4A5C5892"/>
    <w:rsid w:val="4A762B45"/>
    <w:rsid w:val="4AE0139B"/>
    <w:rsid w:val="4B596D66"/>
    <w:rsid w:val="4B610D8E"/>
    <w:rsid w:val="4B6746F0"/>
    <w:rsid w:val="4B9C56DF"/>
    <w:rsid w:val="4BB12379"/>
    <w:rsid w:val="4BF837D2"/>
    <w:rsid w:val="4C331138"/>
    <w:rsid w:val="4C401BFB"/>
    <w:rsid w:val="4CC40142"/>
    <w:rsid w:val="4D3A3368"/>
    <w:rsid w:val="4D661BD9"/>
    <w:rsid w:val="4DF23AA7"/>
    <w:rsid w:val="4E0B7D64"/>
    <w:rsid w:val="4E3C6CFA"/>
    <w:rsid w:val="4EB57F2A"/>
    <w:rsid w:val="4ED17E55"/>
    <w:rsid w:val="4F2D5747"/>
    <w:rsid w:val="4F441E2A"/>
    <w:rsid w:val="4F742231"/>
    <w:rsid w:val="4F85712F"/>
    <w:rsid w:val="4F943F8B"/>
    <w:rsid w:val="4F9B779E"/>
    <w:rsid w:val="4F9E5CA2"/>
    <w:rsid w:val="4FA10E05"/>
    <w:rsid w:val="5037224D"/>
    <w:rsid w:val="505B64A1"/>
    <w:rsid w:val="50877B3F"/>
    <w:rsid w:val="50912F82"/>
    <w:rsid w:val="50AE5E84"/>
    <w:rsid w:val="50C5365E"/>
    <w:rsid w:val="50D40D95"/>
    <w:rsid w:val="50F04889"/>
    <w:rsid w:val="51636802"/>
    <w:rsid w:val="516F77F3"/>
    <w:rsid w:val="51832F88"/>
    <w:rsid w:val="518F5CDD"/>
    <w:rsid w:val="521238CB"/>
    <w:rsid w:val="52180BAE"/>
    <w:rsid w:val="524A37F8"/>
    <w:rsid w:val="525D55A7"/>
    <w:rsid w:val="529164CB"/>
    <w:rsid w:val="529536ED"/>
    <w:rsid w:val="52A60C1E"/>
    <w:rsid w:val="53517A6B"/>
    <w:rsid w:val="53956DC5"/>
    <w:rsid w:val="53A03BFA"/>
    <w:rsid w:val="53A52556"/>
    <w:rsid w:val="53A96824"/>
    <w:rsid w:val="53F067F6"/>
    <w:rsid w:val="540F09DC"/>
    <w:rsid w:val="54A605D4"/>
    <w:rsid w:val="54CD3224"/>
    <w:rsid w:val="54D6764B"/>
    <w:rsid w:val="54DD32F6"/>
    <w:rsid w:val="54F01EEF"/>
    <w:rsid w:val="55387FCD"/>
    <w:rsid w:val="55786AE7"/>
    <w:rsid w:val="55940B01"/>
    <w:rsid w:val="55BF6693"/>
    <w:rsid w:val="562B6CEE"/>
    <w:rsid w:val="568E6375"/>
    <w:rsid w:val="56B04A36"/>
    <w:rsid w:val="56BC1ECE"/>
    <w:rsid w:val="56C33E82"/>
    <w:rsid w:val="57300C98"/>
    <w:rsid w:val="57431A44"/>
    <w:rsid w:val="5751351F"/>
    <w:rsid w:val="57C2557D"/>
    <w:rsid w:val="57F23A25"/>
    <w:rsid w:val="57F81E57"/>
    <w:rsid w:val="58505756"/>
    <w:rsid w:val="5895248C"/>
    <w:rsid w:val="589A259A"/>
    <w:rsid w:val="58A05669"/>
    <w:rsid w:val="58A70901"/>
    <w:rsid w:val="58C35008"/>
    <w:rsid w:val="58DA4E34"/>
    <w:rsid w:val="58E27CE2"/>
    <w:rsid w:val="599A3124"/>
    <w:rsid w:val="59C50A90"/>
    <w:rsid w:val="59FA31FC"/>
    <w:rsid w:val="5A033A8E"/>
    <w:rsid w:val="5A7B667C"/>
    <w:rsid w:val="5A816A3F"/>
    <w:rsid w:val="5A9C15E1"/>
    <w:rsid w:val="5AB318EC"/>
    <w:rsid w:val="5B23056B"/>
    <w:rsid w:val="5B2B729D"/>
    <w:rsid w:val="5BED662D"/>
    <w:rsid w:val="5BEE6D4F"/>
    <w:rsid w:val="5BFD7F02"/>
    <w:rsid w:val="5C3E589A"/>
    <w:rsid w:val="5C673CF7"/>
    <w:rsid w:val="5CA21F53"/>
    <w:rsid w:val="5CCB37A8"/>
    <w:rsid w:val="5CF763E6"/>
    <w:rsid w:val="5D166FA1"/>
    <w:rsid w:val="5D2216A3"/>
    <w:rsid w:val="5D5056DF"/>
    <w:rsid w:val="5D64614D"/>
    <w:rsid w:val="5D6F0A1C"/>
    <w:rsid w:val="5D9F02B8"/>
    <w:rsid w:val="5DBA2708"/>
    <w:rsid w:val="5DC06C4F"/>
    <w:rsid w:val="5E024346"/>
    <w:rsid w:val="5E7C3A33"/>
    <w:rsid w:val="5E9C0420"/>
    <w:rsid w:val="5ED955F8"/>
    <w:rsid w:val="5F317902"/>
    <w:rsid w:val="5F645C40"/>
    <w:rsid w:val="5F6A17C5"/>
    <w:rsid w:val="5FC024FF"/>
    <w:rsid w:val="604319A9"/>
    <w:rsid w:val="6077058D"/>
    <w:rsid w:val="608D1FBB"/>
    <w:rsid w:val="60C144E9"/>
    <w:rsid w:val="60D661AE"/>
    <w:rsid w:val="60DB1E3E"/>
    <w:rsid w:val="614B0980"/>
    <w:rsid w:val="61B665C4"/>
    <w:rsid w:val="624108BA"/>
    <w:rsid w:val="62491ABE"/>
    <w:rsid w:val="626B32DA"/>
    <w:rsid w:val="62B07D7F"/>
    <w:rsid w:val="62B5058E"/>
    <w:rsid w:val="62F31145"/>
    <w:rsid w:val="63337605"/>
    <w:rsid w:val="635F2F7C"/>
    <w:rsid w:val="63AC0B80"/>
    <w:rsid w:val="63DD323F"/>
    <w:rsid w:val="640D4579"/>
    <w:rsid w:val="645A59DA"/>
    <w:rsid w:val="64A16305"/>
    <w:rsid w:val="64BD3461"/>
    <w:rsid w:val="64F1679F"/>
    <w:rsid w:val="6535386A"/>
    <w:rsid w:val="6535735F"/>
    <w:rsid w:val="656E1EA5"/>
    <w:rsid w:val="669F348A"/>
    <w:rsid w:val="66A41C30"/>
    <w:rsid w:val="67520B98"/>
    <w:rsid w:val="67CB51C1"/>
    <w:rsid w:val="67E003A2"/>
    <w:rsid w:val="68030727"/>
    <w:rsid w:val="681933C0"/>
    <w:rsid w:val="68373100"/>
    <w:rsid w:val="68960123"/>
    <w:rsid w:val="68985CF0"/>
    <w:rsid w:val="68CD05A2"/>
    <w:rsid w:val="68F05475"/>
    <w:rsid w:val="692C67D9"/>
    <w:rsid w:val="69C25972"/>
    <w:rsid w:val="69CD12CD"/>
    <w:rsid w:val="69EF54FA"/>
    <w:rsid w:val="6AC64296"/>
    <w:rsid w:val="6AF53A25"/>
    <w:rsid w:val="6B1113EA"/>
    <w:rsid w:val="6B291AC2"/>
    <w:rsid w:val="6BAD3C5D"/>
    <w:rsid w:val="6BCD1F66"/>
    <w:rsid w:val="6BD22D10"/>
    <w:rsid w:val="6C1E5D41"/>
    <w:rsid w:val="6C4D0EE4"/>
    <w:rsid w:val="6C5E4D95"/>
    <w:rsid w:val="6C64054F"/>
    <w:rsid w:val="6CBA2E1D"/>
    <w:rsid w:val="6D7E311D"/>
    <w:rsid w:val="6DBB2DC6"/>
    <w:rsid w:val="6E022857"/>
    <w:rsid w:val="6E675472"/>
    <w:rsid w:val="6E7B4B6C"/>
    <w:rsid w:val="6EBA4107"/>
    <w:rsid w:val="6F0A3EB4"/>
    <w:rsid w:val="6F1B2BAC"/>
    <w:rsid w:val="6F21030C"/>
    <w:rsid w:val="6F4E5E4D"/>
    <w:rsid w:val="6F6E53E1"/>
    <w:rsid w:val="6F8D2E83"/>
    <w:rsid w:val="70025C90"/>
    <w:rsid w:val="702624A5"/>
    <w:rsid w:val="70465782"/>
    <w:rsid w:val="70B445FA"/>
    <w:rsid w:val="70C608BE"/>
    <w:rsid w:val="712F05F8"/>
    <w:rsid w:val="7159098D"/>
    <w:rsid w:val="71652EE0"/>
    <w:rsid w:val="716B2BB9"/>
    <w:rsid w:val="71996A62"/>
    <w:rsid w:val="71C550FA"/>
    <w:rsid w:val="721505E0"/>
    <w:rsid w:val="725F08AA"/>
    <w:rsid w:val="72746F41"/>
    <w:rsid w:val="731B117A"/>
    <w:rsid w:val="73410F71"/>
    <w:rsid w:val="734708DB"/>
    <w:rsid w:val="736C0FC4"/>
    <w:rsid w:val="74297719"/>
    <w:rsid w:val="74453431"/>
    <w:rsid w:val="74600BBC"/>
    <w:rsid w:val="7480655E"/>
    <w:rsid w:val="74843A02"/>
    <w:rsid w:val="74AD6ED9"/>
    <w:rsid w:val="74B963D7"/>
    <w:rsid w:val="74F265A8"/>
    <w:rsid w:val="75532172"/>
    <w:rsid w:val="756537CF"/>
    <w:rsid w:val="75A04E0F"/>
    <w:rsid w:val="75A56B6C"/>
    <w:rsid w:val="75BD0535"/>
    <w:rsid w:val="760D3446"/>
    <w:rsid w:val="76237E13"/>
    <w:rsid w:val="762857FD"/>
    <w:rsid w:val="762C3CCB"/>
    <w:rsid w:val="76327BBF"/>
    <w:rsid w:val="763C35C2"/>
    <w:rsid w:val="764B157E"/>
    <w:rsid w:val="76816645"/>
    <w:rsid w:val="76843750"/>
    <w:rsid w:val="76913F70"/>
    <w:rsid w:val="771C1592"/>
    <w:rsid w:val="774F4848"/>
    <w:rsid w:val="777B4A76"/>
    <w:rsid w:val="778575B4"/>
    <w:rsid w:val="7797669F"/>
    <w:rsid w:val="77C07083"/>
    <w:rsid w:val="77D43DCA"/>
    <w:rsid w:val="77D671B1"/>
    <w:rsid w:val="77E44FD6"/>
    <w:rsid w:val="780E6E6F"/>
    <w:rsid w:val="7867307F"/>
    <w:rsid w:val="78881741"/>
    <w:rsid w:val="78A70FCA"/>
    <w:rsid w:val="78C13935"/>
    <w:rsid w:val="790A61A4"/>
    <w:rsid w:val="794A309A"/>
    <w:rsid w:val="795B3450"/>
    <w:rsid w:val="79635F91"/>
    <w:rsid w:val="796631F3"/>
    <w:rsid w:val="79C97DAC"/>
    <w:rsid w:val="79EF3A9F"/>
    <w:rsid w:val="7A0B60B0"/>
    <w:rsid w:val="7A4F45D9"/>
    <w:rsid w:val="7A515AE3"/>
    <w:rsid w:val="7A634335"/>
    <w:rsid w:val="7A8579AF"/>
    <w:rsid w:val="7A9A10AC"/>
    <w:rsid w:val="7B154E9F"/>
    <w:rsid w:val="7B7F6994"/>
    <w:rsid w:val="7B9E0993"/>
    <w:rsid w:val="7BB22D15"/>
    <w:rsid w:val="7BF12B0C"/>
    <w:rsid w:val="7C1B749B"/>
    <w:rsid w:val="7C646D0F"/>
    <w:rsid w:val="7C86287F"/>
    <w:rsid w:val="7CD33BF8"/>
    <w:rsid w:val="7CF746F0"/>
    <w:rsid w:val="7D190D9F"/>
    <w:rsid w:val="7D19357F"/>
    <w:rsid w:val="7D417001"/>
    <w:rsid w:val="7D7A6B81"/>
    <w:rsid w:val="7D8037CA"/>
    <w:rsid w:val="7D9D1057"/>
    <w:rsid w:val="7E122E21"/>
    <w:rsid w:val="7E4E17E1"/>
    <w:rsid w:val="7E5C3A73"/>
    <w:rsid w:val="7E903304"/>
    <w:rsid w:val="7EAF15B4"/>
    <w:rsid w:val="7EDF6B91"/>
    <w:rsid w:val="7EFE6536"/>
    <w:rsid w:val="7F3A4116"/>
    <w:rsid w:val="7F9D3C46"/>
    <w:rsid w:val="7FCD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iPriority="0" w:semiHidden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99" w:semiHidden="0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iPriority="0" w:semiHidden="0" w:name="Document Map"/>
    <w:lsdException w:qFormat="1" w:unhideWhenUsed="0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 w:line="259" w:lineRule="auto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4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1"/>
    <w:next w:val="1"/>
    <w:link w:val="69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8">
    <w:name w:val="heading 7"/>
    <w:basedOn w:val="1"/>
    <w:next w:val="1"/>
    <w:link w:val="66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9">
    <w:name w:val="heading 8"/>
    <w:basedOn w:val="2"/>
    <w:next w:val="1"/>
    <w:link w:val="67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link w:val="70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ind w:left="1418"/>
    </w:pPr>
  </w:style>
  <w:style w:type="paragraph" w:styleId="24">
    <w:name w:val="List Bullet 3"/>
    <w:basedOn w:val="25"/>
    <w:qFormat/>
    <w:uiPriority w:val="0"/>
    <w:pPr>
      <w:ind w:left="1135"/>
    </w:pPr>
  </w:style>
  <w:style w:type="paragraph" w:styleId="25">
    <w:name w:val="List Bullet 2"/>
    <w:basedOn w:val="26"/>
    <w:qFormat/>
    <w:uiPriority w:val="0"/>
    <w:pPr>
      <w:ind w:left="851"/>
    </w:pPr>
  </w:style>
  <w:style w:type="paragraph" w:styleId="26">
    <w:name w:val="List Bullet"/>
    <w:basedOn w:val="13"/>
    <w:qFormat/>
    <w:uiPriority w:val="0"/>
  </w:style>
  <w:style w:type="paragraph" w:styleId="27">
    <w:name w:val="caption"/>
    <w:basedOn w:val="1"/>
    <w:next w:val="1"/>
    <w:link w:val="111"/>
    <w:qFormat/>
    <w:uiPriority w:val="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28">
    <w:name w:val="Document Map"/>
    <w:basedOn w:val="1"/>
    <w:link w:val="68"/>
    <w:unhideWhenUsed/>
    <w:qFormat/>
    <w:uiPriority w:val="0"/>
    <w:rPr>
      <w:rFonts w:ascii="宋体"/>
      <w:sz w:val="18"/>
      <w:szCs w:val="18"/>
    </w:rPr>
  </w:style>
  <w:style w:type="paragraph" w:styleId="29">
    <w:name w:val="annotation text"/>
    <w:basedOn w:val="1"/>
    <w:link w:val="103"/>
    <w:qFormat/>
    <w:uiPriority w:val="99"/>
  </w:style>
  <w:style w:type="paragraph" w:styleId="30">
    <w:name w:val="Body Text"/>
    <w:basedOn w:val="1"/>
    <w:link w:val="82"/>
    <w:qFormat/>
    <w:uiPriority w:val="0"/>
  </w:style>
  <w:style w:type="paragraph" w:styleId="31">
    <w:name w:val="Plain Text"/>
    <w:basedOn w:val="1"/>
    <w:link w:val="104"/>
    <w:qFormat/>
    <w:uiPriority w:val="99"/>
    <w:rPr>
      <w:rFonts w:ascii="Courier New" w:hAnsi="Courier New"/>
      <w:lang w:val="nb-NO"/>
    </w:rPr>
  </w:style>
  <w:style w:type="paragraph" w:styleId="32">
    <w:name w:val="List Bullet 5"/>
    <w:basedOn w:val="23"/>
    <w:qFormat/>
    <w:uiPriority w:val="0"/>
    <w:pPr>
      <w:ind w:left="1702"/>
    </w:pPr>
  </w:style>
  <w:style w:type="paragraph" w:styleId="33">
    <w:name w:val="toc 8"/>
    <w:basedOn w:val="20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101"/>
    <w:unhideWhenUsed/>
    <w:qFormat/>
    <w:uiPriority w:val="99"/>
    <w:pPr>
      <w:ind w:left="100" w:leftChars="2500"/>
    </w:pPr>
  </w:style>
  <w:style w:type="paragraph" w:styleId="35">
    <w:name w:val="Body Text Indent 2"/>
    <w:basedOn w:val="1"/>
    <w:link w:val="105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65"/>
    <w:unhideWhenUsed/>
    <w:qFormat/>
    <w:uiPriority w:val="0"/>
    <w:pPr>
      <w:spacing w:after="0"/>
    </w:pPr>
    <w:rPr>
      <w:sz w:val="18"/>
      <w:szCs w:val="18"/>
    </w:rPr>
  </w:style>
  <w:style w:type="paragraph" w:styleId="38">
    <w:name w:val="footer"/>
    <w:basedOn w:val="1"/>
    <w:link w:val="100"/>
    <w:unhideWhenUsed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9">
    <w:name w:val="header"/>
    <w:basedOn w:val="1"/>
    <w:link w:val="59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58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1"/>
    <w:qFormat/>
    <w:uiPriority w:val="0"/>
    <w:pPr>
      <w:ind w:left="1418"/>
    </w:pPr>
  </w:style>
  <w:style w:type="paragraph" w:styleId="44">
    <w:name w:val="toc 9"/>
    <w:basedOn w:val="33"/>
    <w:next w:val="1"/>
    <w:qFormat/>
    <w:uiPriority w:val="0"/>
    <w:pPr>
      <w:ind w:left="1418" w:hanging="1418"/>
    </w:pPr>
  </w:style>
  <w:style w:type="paragraph" w:styleId="4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6">
    <w:name w:val="index 1"/>
    <w:basedOn w:val="1"/>
    <w:next w:val="1"/>
    <w:unhideWhenUsed/>
    <w:qFormat/>
    <w:uiPriority w:val="0"/>
    <w:pPr>
      <w:ind w:left="200" w:hanging="200"/>
    </w:pPr>
  </w:style>
  <w:style w:type="paragraph" w:styleId="47">
    <w:name w:val="index 2"/>
    <w:basedOn w:val="46"/>
    <w:next w:val="1"/>
    <w:semiHidden/>
    <w:qFormat/>
    <w:uiPriority w:val="0"/>
    <w:pPr>
      <w:keepLines/>
      <w:spacing w:after="0"/>
      <w:ind w:left="284" w:firstLine="0"/>
    </w:pPr>
  </w:style>
  <w:style w:type="paragraph" w:styleId="48">
    <w:name w:val="annotation subject"/>
    <w:basedOn w:val="29"/>
    <w:next w:val="29"/>
    <w:link w:val="106"/>
    <w:qFormat/>
    <w:uiPriority w:val="0"/>
    <w:rPr>
      <w:b/>
      <w:bCs/>
    </w:rPr>
  </w:style>
  <w:style w:type="table" w:styleId="50">
    <w:name w:val="Table Grid"/>
    <w:basedOn w:val="4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endnote reference"/>
    <w:qFormat/>
    <w:uiPriority w:val="0"/>
    <w:rPr>
      <w:vertAlign w:val="superscript"/>
    </w:rPr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qFormat/>
    <w:uiPriority w:val="99"/>
    <w:rPr>
      <w:color w:val="0000FF"/>
      <w:u w:val="single"/>
    </w:rPr>
  </w:style>
  <w:style w:type="character" w:styleId="56">
    <w:name w:val="annotation reference"/>
    <w:qFormat/>
    <w:uiPriority w:val="99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character" w:customStyle="1" w:styleId="58">
    <w:name w:val="Footnote Text Char"/>
    <w:link w:val="41"/>
    <w:semiHidden/>
    <w:qFormat/>
    <w:uiPriority w:val="0"/>
    <w:rPr>
      <w:rFonts w:ascii="Times New Roman" w:hAnsi="Times New Roman"/>
      <w:sz w:val="16"/>
      <w:lang w:eastAsia="en-US"/>
    </w:rPr>
  </w:style>
  <w:style w:type="character" w:customStyle="1" w:styleId="59">
    <w:name w:val="Header Char"/>
    <w:link w:val="39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0">
    <w:name w:val="TAH Car"/>
    <w:link w:val="61"/>
    <w:qFormat/>
    <w:uiPriority w:val="99"/>
    <w:rPr>
      <w:rFonts w:ascii="Arial" w:hAnsi="Arial" w:eastAsia="Times New Roman" w:cs="Arial"/>
      <w:b/>
      <w:bCs/>
      <w:sz w:val="18"/>
      <w:szCs w:val="18"/>
      <w:lang w:val="en-GB" w:eastAsia="ja-JP"/>
    </w:rPr>
  </w:style>
  <w:style w:type="paragraph" w:customStyle="1" w:styleId="61">
    <w:name w:val="TAH"/>
    <w:basedOn w:val="62"/>
    <w:link w:val="60"/>
    <w:qFormat/>
    <w:uiPriority w:val="99"/>
    <w:rPr>
      <w:b/>
      <w:bCs/>
      <w:lang w:eastAsia="ja-JP"/>
    </w:rPr>
  </w:style>
  <w:style w:type="paragraph" w:customStyle="1" w:styleId="62">
    <w:name w:val="TAC"/>
    <w:basedOn w:val="63"/>
    <w:link w:val="94"/>
    <w:qFormat/>
    <w:uiPriority w:val="0"/>
    <w:pPr>
      <w:snapToGrid w:val="0"/>
      <w:jc w:val="center"/>
      <w:textAlignment w:val="baseline"/>
    </w:pPr>
    <w:rPr>
      <w:rFonts w:eastAsia="Times New Roman"/>
      <w:lang w:val="en-US" w:eastAsia="en-GB"/>
    </w:rPr>
  </w:style>
  <w:style w:type="paragraph" w:customStyle="1" w:styleId="63">
    <w:name w:val="TAL"/>
    <w:basedOn w:val="1"/>
    <w:link w:val="95"/>
    <w:qFormat/>
    <w:uiPriority w:val="0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character" w:customStyle="1" w:styleId="64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65">
    <w:name w:val="Balloon Text Char"/>
    <w:link w:val="37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66">
    <w:name w:val="Heading 7 Char"/>
    <w:link w:val="8"/>
    <w:qFormat/>
    <w:uiPriority w:val="0"/>
    <w:rPr>
      <w:rFonts w:ascii="Arial" w:hAnsi="Arial"/>
      <w:lang w:eastAsia="en-US"/>
    </w:rPr>
  </w:style>
  <w:style w:type="character" w:customStyle="1" w:styleId="67">
    <w:name w:val="Heading 8 Char"/>
    <w:link w:val="9"/>
    <w:qFormat/>
    <w:uiPriority w:val="0"/>
    <w:rPr>
      <w:rFonts w:ascii="Arial" w:hAnsi="Arial"/>
      <w:sz w:val="36"/>
      <w:lang w:eastAsia="en-US"/>
    </w:rPr>
  </w:style>
  <w:style w:type="character" w:customStyle="1" w:styleId="68">
    <w:name w:val="Document Map Char"/>
    <w:link w:val="28"/>
    <w:semiHidden/>
    <w:qFormat/>
    <w:uiPriority w:val="0"/>
    <w:rPr>
      <w:rFonts w:ascii="宋体" w:hAnsi="Times New Roman"/>
      <w:sz w:val="18"/>
      <w:szCs w:val="18"/>
      <w:lang w:val="en-GB" w:eastAsia="en-US"/>
    </w:rPr>
  </w:style>
  <w:style w:type="character" w:customStyle="1" w:styleId="69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70">
    <w:name w:val="Heading 9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71">
    <w:name w:val="TAL Char"/>
    <w:qFormat/>
    <w:uiPriority w:val="0"/>
    <w:rPr>
      <w:rFonts w:ascii="Arial" w:hAnsi="Arial"/>
      <w:sz w:val="18"/>
      <w:lang w:eastAsia="en-US"/>
    </w:rPr>
  </w:style>
  <w:style w:type="character" w:customStyle="1" w:styleId="72">
    <w:name w:val="NO Char"/>
    <w:link w:val="73"/>
    <w:qFormat/>
    <w:uiPriority w:val="0"/>
    <w:rPr>
      <w:rFonts w:ascii="Times New Roman" w:hAnsi="Times New Roman"/>
      <w:lang w:val="zh-CN" w:eastAsia="en-US"/>
    </w:rPr>
  </w:style>
  <w:style w:type="paragraph" w:customStyle="1" w:styleId="73">
    <w:name w:val="NO"/>
    <w:basedOn w:val="1"/>
    <w:link w:val="72"/>
    <w:qFormat/>
    <w:uiPriority w:val="0"/>
    <w:pPr>
      <w:keepLines/>
      <w:ind w:left="1135" w:hanging="851"/>
    </w:pPr>
    <w:rPr>
      <w:lang w:val="zh-CN"/>
    </w:rPr>
  </w:style>
  <w:style w:type="character" w:customStyle="1" w:styleId="74">
    <w:name w:val="Endnote Text Char"/>
    <w:link w:val="36"/>
    <w:qFormat/>
    <w:uiPriority w:val="0"/>
    <w:rPr>
      <w:rFonts w:ascii="Times New Roman" w:hAnsi="Times New Roman" w:eastAsia="Yu Mincho"/>
      <w:lang w:eastAsia="en-US"/>
    </w:rPr>
  </w:style>
  <w:style w:type="character" w:customStyle="1" w:styleId="75">
    <w:name w:val="3GPP Normal Text Char"/>
    <w:link w:val="76"/>
    <w:qFormat/>
    <w:uiPriority w:val="0"/>
    <w:rPr>
      <w:rFonts w:ascii="Times New Roman" w:hAnsi="Times New Roman" w:eastAsia="MS Mincho"/>
      <w:sz w:val="22"/>
      <w:szCs w:val="24"/>
      <w:lang w:val="zh-CN" w:eastAsia="zh-CN"/>
    </w:rPr>
  </w:style>
  <w:style w:type="paragraph" w:customStyle="1" w:styleId="76">
    <w:name w:val="3GPP Normal Text"/>
    <w:basedOn w:val="30"/>
    <w:link w:val="7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77">
    <w:name w:val="ZGSM"/>
    <w:qFormat/>
    <w:uiPriority w:val="0"/>
  </w:style>
  <w:style w:type="character" w:customStyle="1" w:styleId="78">
    <w:name w:val="CR Cover Page Char"/>
    <w:link w:val="79"/>
    <w:qFormat/>
    <w:uiPriority w:val="0"/>
    <w:rPr>
      <w:rFonts w:ascii="Arial" w:hAnsi="Arial"/>
      <w:lang w:eastAsia="en-US"/>
    </w:rPr>
  </w:style>
  <w:style w:type="paragraph" w:customStyle="1" w:styleId="79">
    <w:name w:val="CR Cover Page"/>
    <w:link w:val="78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80">
    <w:name w:val="样式 页眉 Char"/>
    <w:link w:val="81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81">
    <w:name w:val="样式 页眉"/>
    <w:basedOn w:val="39"/>
    <w:link w:val="80"/>
    <w:qFormat/>
    <w:uiPriority w:val="0"/>
    <w:pPr>
      <w:widowControl w:val="0"/>
      <w:pBdr>
        <w:bottom w:val="none" w:color="auto" w:sz="0" w:space="0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160"/>
      <w:jc w:val="left"/>
      <w:textAlignment w:val="baseline"/>
    </w:pPr>
    <w:rPr>
      <w:rFonts w:ascii="Arial" w:hAnsi="Arial" w:eastAsia="Arial"/>
      <w:b/>
      <w:bCs/>
      <w:sz w:val="22"/>
      <w:szCs w:val="20"/>
    </w:rPr>
  </w:style>
  <w:style w:type="character" w:customStyle="1" w:styleId="82">
    <w:name w:val="Body Text Char"/>
    <w:link w:val="30"/>
    <w:qFormat/>
    <w:uiPriority w:val="0"/>
    <w:rPr>
      <w:rFonts w:ascii="Times New Roman" w:hAnsi="Times New Roman"/>
      <w:lang w:eastAsia="en-US"/>
    </w:rPr>
  </w:style>
  <w:style w:type="character" w:customStyle="1" w:styleId="83">
    <w:name w:val="批注主题 Char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PL Char"/>
    <w:link w:val="85"/>
    <w:qFormat/>
    <w:uiPriority w:val="0"/>
    <w:rPr>
      <w:rFonts w:ascii="Courier New" w:hAnsi="Courier New"/>
      <w:sz w:val="16"/>
      <w:lang w:eastAsia="en-US"/>
    </w:rPr>
  </w:style>
  <w:style w:type="paragraph" w:customStyle="1" w:styleId="8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86">
    <w:name w:val="H6 Char"/>
    <w:link w:val="87"/>
    <w:qFormat/>
    <w:uiPriority w:val="0"/>
    <w:rPr>
      <w:rFonts w:ascii="Arial" w:hAnsi="Arial"/>
      <w:szCs w:val="18"/>
      <w:lang w:val="sv-SE" w:eastAsia="zh-CN"/>
    </w:rPr>
  </w:style>
  <w:style w:type="paragraph" w:customStyle="1" w:styleId="87">
    <w:name w:val="H6"/>
    <w:basedOn w:val="6"/>
    <w:next w:val="1"/>
    <w:link w:val="86"/>
    <w:qFormat/>
    <w:uiPriority w:val="0"/>
    <w:pPr>
      <w:numPr>
        <w:numId w:val="0"/>
      </w:numPr>
      <w:ind w:left="1985" w:hanging="1985"/>
      <w:outlineLvl w:val="9"/>
    </w:pPr>
    <w:rPr>
      <w:sz w:val="20"/>
      <w:szCs w:val="18"/>
      <w:lang w:val="sv-SE" w:eastAsia="zh-CN"/>
    </w:rPr>
  </w:style>
  <w:style w:type="character" w:customStyle="1" w:styleId="88">
    <w:name w:val="List Paragraph Char"/>
    <w:link w:val="89"/>
    <w:qFormat/>
    <w:locked/>
    <w:uiPriority w:val="34"/>
    <w:rPr>
      <w:rFonts w:ascii="Times New Roman" w:hAnsi="Times New Roman"/>
      <w:lang w:eastAsia="en-US"/>
    </w:rPr>
  </w:style>
  <w:style w:type="paragraph" w:styleId="89">
    <w:name w:val="List Paragraph"/>
    <w:basedOn w:val="1"/>
    <w:link w:val="88"/>
    <w:qFormat/>
    <w:uiPriority w:val="34"/>
    <w:pPr>
      <w:ind w:firstLine="420" w:firstLineChars="200"/>
    </w:pPr>
  </w:style>
  <w:style w:type="character" w:customStyle="1" w:styleId="90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1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2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93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94">
    <w:name w:val="TAC Char"/>
    <w:link w:val="62"/>
    <w:qFormat/>
    <w:uiPriority w:val="0"/>
    <w:rPr>
      <w:rFonts w:ascii="Arial" w:hAnsi="Arial" w:eastAsia="Times New Roman"/>
      <w:sz w:val="18"/>
      <w:lang w:eastAsia="en-GB"/>
    </w:rPr>
  </w:style>
  <w:style w:type="character" w:customStyle="1" w:styleId="95">
    <w:name w:val="TAL Car"/>
    <w:link w:val="63"/>
    <w:qFormat/>
    <w:locked/>
    <w:uiPriority w:val="0"/>
    <w:rPr>
      <w:rFonts w:ascii="Arial" w:hAnsi="Arial" w:cs="Arial"/>
      <w:sz w:val="18"/>
      <w:szCs w:val="18"/>
      <w:lang w:val="en-GB" w:eastAsia="ja-JP"/>
    </w:rPr>
  </w:style>
  <w:style w:type="character" w:customStyle="1" w:styleId="96">
    <w:name w:val="TH Char"/>
    <w:link w:val="97"/>
    <w:qFormat/>
    <w:locked/>
    <w:uiPriority w:val="0"/>
    <w:rPr>
      <w:rFonts w:ascii="Arial" w:hAnsi="Arial" w:cs="Arial"/>
      <w:b/>
      <w:bCs/>
      <w:lang w:val="en-GB" w:eastAsia="ja-JP"/>
    </w:rPr>
  </w:style>
  <w:style w:type="paragraph" w:customStyle="1" w:styleId="97">
    <w:name w:val="TH"/>
    <w:basedOn w:val="1"/>
    <w:link w:val="96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character" w:customStyle="1" w:styleId="98">
    <w:name w:val="TAN Char"/>
    <w:link w:val="99"/>
    <w:qFormat/>
    <w:uiPriority w:val="0"/>
    <w:rPr>
      <w:rFonts w:ascii="Arial" w:hAnsi="Arial" w:cs="Arial"/>
      <w:sz w:val="18"/>
      <w:szCs w:val="18"/>
      <w:lang w:val="en-GB" w:eastAsia="en-US"/>
    </w:rPr>
  </w:style>
  <w:style w:type="paragraph" w:customStyle="1" w:styleId="99">
    <w:name w:val="TAN"/>
    <w:basedOn w:val="63"/>
    <w:link w:val="98"/>
    <w:qFormat/>
    <w:uiPriority w:val="0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100">
    <w:name w:val="Footer Char"/>
    <w:link w:val="38"/>
    <w:qFormat/>
    <w:uiPriority w:val="0"/>
    <w:rPr>
      <w:rFonts w:ascii="Times New Roman" w:hAnsi="Times New Roman"/>
      <w:sz w:val="18"/>
      <w:szCs w:val="18"/>
      <w:lang w:val="en-GB" w:eastAsia="en-US"/>
    </w:rPr>
  </w:style>
  <w:style w:type="character" w:customStyle="1" w:styleId="101">
    <w:name w:val="Date Char"/>
    <w:link w:val="34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102">
    <w:name w:val="texhtml"/>
    <w:basedOn w:val="51"/>
    <w:qFormat/>
    <w:uiPriority w:val="0"/>
  </w:style>
  <w:style w:type="character" w:customStyle="1" w:styleId="103">
    <w:name w:val="Comment Text Char"/>
    <w:link w:val="29"/>
    <w:qFormat/>
    <w:uiPriority w:val="99"/>
    <w:rPr>
      <w:rFonts w:ascii="Times New Roman" w:hAnsi="Times New Roman"/>
      <w:lang w:eastAsia="en-US"/>
    </w:rPr>
  </w:style>
  <w:style w:type="character" w:customStyle="1" w:styleId="104">
    <w:name w:val="Plain Text Char"/>
    <w:link w:val="31"/>
    <w:qFormat/>
    <w:uiPriority w:val="99"/>
    <w:rPr>
      <w:rFonts w:ascii="Courier New" w:hAnsi="Courier New"/>
      <w:lang w:val="nb-NO" w:eastAsia="en-US"/>
    </w:rPr>
  </w:style>
  <w:style w:type="character" w:customStyle="1" w:styleId="105">
    <w:name w:val="Body Text Indent 2 Char"/>
    <w:link w:val="35"/>
    <w:qFormat/>
    <w:uiPriority w:val="0"/>
    <w:rPr>
      <w:rFonts w:ascii="Arial" w:hAnsi="Arial" w:eastAsia="Yu Mincho"/>
      <w:sz w:val="22"/>
      <w:lang w:eastAsia="en-US"/>
    </w:rPr>
  </w:style>
  <w:style w:type="character" w:customStyle="1" w:styleId="106">
    <w:name w:val="Comment Subject Char"/>
    <w:link w:val="48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07">
    <w:name w:val="Guidance Char"/>
    <w:link w:val="108"/>
    <w:qFormat/>
    <w:uiPriority w:val="0"/>
    <w:rPr>
      <w:rFonts w:ascii="Times New Roman" w:hAnsi="Times New Roman"/>
      <w:i/>
      <w:color w:val="0000FF"/>
      <w:lang w:val="zh-CN" w:eastAsia="en-US"/>
    </w:rPr>
  </w:style>
  <w:style w:type="paragraph" w:customStyle="1" w:styleId="108">
    <w:name w:val="Guidance"/>
    <w:basedOn w:val="1"/>
    <w:link w:val="107"/>
    <w:qFormat/>
    <w:uiPriority w:val="0"/>
    <w:rPr>
      <w:i/>
      <w:color w:val="0000FF"/>
      <w:lang w:val="zh-CN"/>
    </w:rPr>
  </w:style>
  <w:style w:type="character" w:customStyle="1" w:styleId="109">
    <w:name w:val="B1 Char"/>
    <w:link w:val="110"/>
    <w:qFormat/>
    <w:uiPriority w:val="0"/>
    <w:rPr>
      <w:rFonts w:ascii="Times New Roman" w:hAnsi="Times New Roman"/>
      <w:lang w:eastAsia="en-US"/>
    </w:rPr>
  </w:style>
  <w:style w:type="paragraph" w:customStyle="1" w:styleId="110">
    <w:name w:val="B1"/>
    <w:basedOn w:val="13"/>
    <w:link w:val="109"/>
    <w:qFormat/>
    <w:uiPriority w:val="0"/>
  </w:style>
  <w:style w:type="character" w:customStyle="1" w:styleId="111">
    <w:name w:val="Caption Char"/>
    <w:link w:val="27"/>
    <w:qFormat/>
    <w:uiPriority w:val="0"/>
    <w:rPr>
      <w:rFonts w:ascii="Times New Roman" w:hAnsi="Times New Roman"/>
      <w:b/>
      <w:bCs/>
      <w:lang w:val="en-US" w:eastAsia="en-US"/>
    </w:rPr>
  </w:style>
  <w:style w:type="character" w:customStyle="1" w:styleId="112">
    <w:name w:val="Caption Char1"/>
    <w:qFormat/>
    <w:uiPriority w:val="0"/>
    <w:rPr>
      <w:rFonts w:eastAsia="Times New Roman"/>
      <w:b/>
      <w:lang w:val="en-GB" w:eastAsia="en-US"/>
    </w:rPr>
  </w:style>
  <w:style w:type="character" w:customStyle="1" w:styleId="113">
    <w:name w:val="Subtle Reference1"/>
    <w:qFormat/>
    <w:uiPriority w:val="31"/>
    <w:rPr>
      <w:smallCaps/>
      <w:color w:val="C0504D"/>
      <w:u w:val="single"/>
    </w:rPr>
  </w:style>
  <w:style w:type="character" w:customStyle="1" w:styleId="11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5">
    <w:name w:val="EQ Char"/>
    <w:link w:val="116"/>
    <w:qFormat/>
    <w:locked/>
    <w:uiPriority w:val="0"/>
    <w:rPr>
      <w:rFonts w:ascii="Times New Roman" w:hAnsi="Times New Roman"/>
      <w:lang w:eastAsia="en-US"/>
    </w:rPr>
  </w:style>
  <w:style w:type="paragraph" w:customStyle="1" w:styleId="116">
    <w:name w:val="EQ"/>
    <w:basedOn w:val="1"/>
    <w:next w:val="1"/>
    <w:link w:val="11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117">
    <w:name w:val="normaltextrun"/>
    <w:basedOn w:val="51"/>
    <w:qFormat/>
    <w:uiPriority w:val="0"/>
  </w:style>
  <w:style w:type="paragraph" w:customStyle="1" w:styleId="118">
    <w:name w:val="TF"/>
    <w:basedOn w:val="97"/>
    <w:qFormat/>
    <w:uiPriority w:val="0"/>
    <w:pPr>
      <w:keepNext w:val="0"/>
      <w:overflowPunct/>
      <w:autoSpaceDE/>
      <w:autoSpaceDN/>
      <w:adjustRightInd/>
      <w:spacing w:before="0" w:after="240"/>
    </w:pPr>
    <w:rPr>
      <w:rFonts w:cs="Times New Roman"/>
      <w:bCs w:val="0"/>
      <w:lang w:val="zh-CN" w:eastAsia="en-US"/>
    </w:rPr>
  </w:style>
  <w:style w:type="paragraph" w:customStyle="1" w:styleId="119">
    <w:name w:val="INDENT1"/>
    <w:basedOn w:val="1"/>
    <w:qFormat/>
    <w:uiPriority w:val="0"/>
    <w:pPr>
      <w:ind w:left="851"/>
    </w:pPr>
  </w:style>
  <w:style w:type="paragraph" w:customStyle="1" w:styleId="120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22">
    <w:name w:val="TAR"/>
    <w:basedOn w:val="63"/>
    <w:qFormat/>
    <w:uiPriority w:val="0"/>
    <w:pPr>
      <w:overflowPunct/>
      <w:autoSpaceDE/>
      <w:autoSpaceDN/>
      <w:adjustRightInd/>
      <w:jc w:val="right"/>
    </w:pPr>
    <w:rPr>
      <w:rFonts w:cs="Times New Roman"/>
      <w:szCs w:val="20"/>
      <w:lang w:val="zh-CN" w:eastAsia="en-US"/>
    </w:rPr>
  </w:style>
  <w:style w:type="paragraph" w:customStyle="1" w:styleId="123">
    <w:name w:val="B5"/>
    <w:basedOn w:val="42"/>
    <w:qFormat/>
    <w:uiPriority w:val="0"/>
  </w:style>
  <w:style w:type="paragraph" w:customStyle="1" w:styleId="124">
    <w:name w:val="B2"/>
    <w:basedOn w:val="12"/>
    <w:qFormat/>
    <w:uiPriority w:val="0"/>
  </w:style>
  <w:style w:type="paragraph" w:customStyle="1" w:styleId="125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paragraph" w:customStyle="1" w:styleId="126">
    <w:name w:val="B3"/>
    <w:basedOn w:val="11"/>
    <w:qFormat/>
    <w:uiPriority w:val="0"/>
  </w:style>
  <w:style w:type="paragraph" w:customStyle="1" w:styleId="127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8">
    <w:name w:val="TT"/>
    <w:basedOn w:val="2"/>
    <w:next w:val="1"/>
    <w:qFormat/>
    <w:uiPriority w:val="0"/>
    <w:pPr>
      <w:tabs>
        <w:tab w:val="clear" w:pos="432"/>
      </w:tabs>
      <w:outlineLvl w:val="9"/>
    </w:pPr>
    <w:rPr>
      <w:lang w:val="sv-SE"/>
    </w:rPr>
  </w:style>
  <w:style w:type="paragraph" w:customStyle="1" w:styleId="129">
    <w:name w:val="NF"/>
    <w:basedOn w:val="7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0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132">
    <w:name w:val="EX"/>
    <w:basedOn w:val="1"/>
    <w:qFormat/>
    <w:uiPriority w:val="0"/>
    <w:pPr>
      <w:keepLines/>
      <w:ind w:left="1702" w:hanging="1418"/>
    </w:pPr>
  </w:style>
  <w:style w:type="paragraph" w:customStyle="1" w:styleId="13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NW"/>
    <w:basedOn w:val="73"/>
    <w:qFormat/>
    <w:uiPriority w:val="0"/>
    <w:pPr>
      <w:spacing w:after="0"/>
    </w:pPr>
  </w:style>
  <w:style w:type="paragraph" w:customStyle="1" w:styleId="136">
    <w:name w:val="INDENT3"/>
    <w:basedOn w:val="1"/>
    <w:qFormat/>
    <w:uiPriority w:val="0"/>
    <w:pPr>
      <w:ind w:left="1701" w:hanging="567"/>
    </w:pPr>
  </w:style>
  <w:style w:type="paragraph" w:customStyle="1" w:styleId="137">
    <w:name w:val="EW"/>
    <w:basedOn w:val="132"/>
    <w:qFormat/>
    <w:uiPriority w:val="0"/>
    <w:pPr>
      <w:spacing w:after="0"/>
    </w:pPr>
  </w:style>
  <w:style w:type="paragraph" w:customStyle="1" w:styleId="138">
    <w:name w:val="Editor's Note"/>
    <w:basedOn w:val="73"/>
    <w:qFormat/>
    <w:uiPriority w:val="0"/>
    <w:rPr>
      <w:color w:val="FF0000"/>
    </w:rPr>
  </w:style>
  <w:style w:type="paragraph" w:customStyle="1" w:styleId="13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0">
    <w:name w:val="tal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141">
    <w:name w:val="B4"/>
    <w:basedOn w:val="43"/>
    <w:qFormat/>
    <w:uiPriority w:val="0"/>
  </w:style>
  <w:style w:type="paragraph" w:customStyle="1" w:styleId="142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45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6">
    <w:name w:val="ZV"/>
    <w:basedOn w:val="143"/>
    <w:qFormat/>
    <w:uiPriority w:val="0"/>
    <w:pPr>
      <w:framePr w:y="16161"/>
    </w:pPr>
  </w:style>
  <w:style w:type="paragraph" w:customStyle="1" w:styleId="147">
    <w:name w:val="INDENT2"/>
    <w:basedOn w:val="1"/>
    <w:qFormat/>
    <w:uiPriority w:val="0"/>
    <w:pPr>
      <w:ind w:left="1135" w:hanging="284"/>
    </w:pPr>
  </w:style>
  <w:style w:type="paragraph" w:customStyle="1" w:styleId="14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149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15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151">
    <w:name w:val="TAJ"/>
    <w:basedOn w:val="97"/>
    <w:qFormat/>
    <w:uiPriority w:val="0"/>
    <w:pPr>
      <w:overflowPunct/>
      <w:autoSpaceDE/>
      <w:autoSpaceDN/>
      <w:adjustRightInd/>
    </w:pPr>
    <w:rPr>
      <w:rFonts w:cs="Times New Roman"/>
      <w:bCs w:val="0"/>
      <w:lang w:val="zh-CN" w:eastAsia="en-US"/>
    </w:rPr>
  </w:style>
  <w:style w:type="paragraph" w:customStyle="1" w:styleId="152">
    <w:name w:val="中等深浅网格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53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paragraph" w:styleId="154">
    <w:name w:val="No Spacing"/>
    <w:qFormat/>
    <w:uiPriority w:val="1"/>
    <w:pPr>
      <w:overflowPunct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5">
    <w:name w:val="Medium Grid 21"/>
    <w:qFormat/>
    <w:uiPriority w:val="1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156">
    <w:name w:val="tah"/>
    <w:basedOn w:val="1"/>
    <w:qFormat/>
    <w:uiPriority w:val="0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table" w:customStyle="1" w:styleId="157">
    <w:name w:val="Table Grid1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">
    <w:name w:val="Table Grid3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9">
    <w:name w:val="Proposal"/>
    <w:basedOn w:val="1"/>
    <w:qFormat/>
    <w:uiPriority w:val="0"/>
    <w:pPr>
      <w:numPr>
        <w:ilvl w:val="0"/>
        <w:numId w:val="2"/>
      </w:numPr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Huawei Technologies Co.,Ltd.</Company>
  <Pages>3</Pages>
  <Words>690</Words>
  <Characters>3937</Characters>
  <Lines>32</Lines>
  <Paragraphs>9</Paragraphs>
  <TotalTime>1</TotalTime>
  <ScaleCrop>false</ScaleCrop>
  <LinksUpToDate>false</LinksUpToDate>
  <CharactersWithSpaces>4618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2022-08-24T09:17:00Z</dcterms:created>
  <dc:creator>Dai Xizeng</dc:creator>
  <cp:lastModifiedBy>ZTE,Fei Xue</cp:lastModifiedBy>
  <dcterms:modified xsi:type="dcterms:W3CDTF">2022-08-25T17:40:06Z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KSOProductBuildVer">
    <vt:lpwstr>2052-11.8.2.8875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1660881638</vt:lpwstr>
  </property>
</Properties>
</file>